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89D2934" w:rsidR="00E108A1" w:rsidRPr="00535FAE" w:rsidRDefault="00E108A1" w:rsidP="00535FAE">
      <w:pPr>
        <w:pStyle w:val="1"/>
        <w:jc w:val="left"/>
        <w:rPr>
          <w:sz w:val="44"/>
          <w:szCs w:val="44"/>
          <w:rtl/>
        </w:rPr>
      </w:pPr>
      <w:r>
        <w:rPr>
          <w:rFonts w:hint="cs"/>
          <w:sz w:val="24"/>
          <w:szCs w:val="24"/>
          <w:rtl/>
        </w:rPr>
        <w:t xml:space="preserve">בס"ד, </w:t>
      </w:r>
      <w:r w:rsidR="00535FAE">
        <w:rPr>
          <w:rFonts w:hint="cs"/>
          <w:sz w:val="24"/>
          <w:szCs w:val="24"/>
          <w:rtl/>
        </w:rPr>
        <w:t>כסלו</w:t>
      </w:r>
      <w:r>
        <w:rPr>
          <w:rFonts w:hint="cs"/>
          <w:sz w:val="24"/>
          <w:szCs w:val="24"/>
          <w:rtl/>
        </w:rPr>
        <w:t xml:space="preserve"> תשפ"א</w:t>
      </w:r>
    </w:p>
    <w:p w14:paraId="00AB622D" w14:textId="55EA39FD" w:rsidR="00C55370" w:rsidRPr="00C55370" w:rsidRDefault="00E108A1" w:rsidP="001A6EF2">
      <w:pPr>
        <w:pStyle w:val="1"/>
        <w:rPr>
          <w:sz w:val="44"/>
          <w:szCs w:val="44"/>
          <w:rtl/>
        </w:rPr>
      </w:pPr>
      <w:r w:rsidRPr="00535FAE">
        <w:rPr>
          <w:rFonts w:hint="cs"/>
          <w:sz w:val="44"/>
          <w:szCs w:val="44"/>
          <w:rtl/>
        </w:rPr>
        <w:t xml:space="preserve">דבר תורה לפרשת </w:t>
      </w:r>
      <w:r w:rsidR="001A6EF2">
        <w:rPr>
          <w:rFonts w:hint="cs"/>
          <w:sz w:val="44"/>
          <w:szCs w:val="44"/>
          <w:rtl/>
        </w:rPr>
        <w:t xml:space="preserve">וישלח </w:t>
      </w:r>
      <w:r w:rsidR="001A6EF2">
        <w:rPr>
          <w:sz w:val="44"/>
          <w:szCs w:val="44"/>
          <w:rtl/>
        </w:rPr>
        <w:t>–</w:t>
      </w:r>
      <w:r w:rsidR="001A6EF2">
        <w:rPr>
          <w:rFonts w:hint="cs"/>
          <w:sz w:val="44"/>
          <w:szCs w:val="44"/>
          <w:rtl/>
        </w:rPr>
        <w:t xml:space="preserve"> אסנת ברוורמן-שילה</w:t>
      </w:r>
    </w:p>
    <w:p w14:paraId="34A2E332" w14:textId="77777777" w:rsidR="001A6EF2" w:rsidRDefault="001A6EF2" w:rsidP="001A6EF2">
      <w:pPr>
        <w:jc w:val="center"/>
        <w:rPr>
          <w:rFonts w:ascii="FrankRuehl" w:hAnsi="FrankRuehl" w:cs="Guttman Yad-Brush"/>
          <w:b/>
          <w:bCs/>
        </w:rPr>
      </w:pPr>
      <w:r>
        <w:rPr>
          <w:rFonts w:ascii="FrankRuehl" w:hAnsi="FrankRuehl" w:cs="Guttman Yad-Brush" w:hint="cs"/>
          <w:b/>
          <w:bCs/>
          <w:rtl/>
        </w:rPr>
        <w:t xml:space="preserve">דינה אשתו של איוב </w:t>
      </w:r>
      <w:proofErr w:type="spellStart"/>
      <w:r>
        <w:rPr>
          <w:rFonts w:ascii="FrankRuehl" w:hAnsi="FrankRuehl" w:cs="Guttman Yad-Brush" w:hint="cs"/>
          <w:b/>
          <w:bCs/>
          <w:rtl/>
        </w:rPr>
        <w:t>היתה</w:t>
      </w:r>
      <w:proofErr w:type="spellEnd"/>
    </w:p>
    <w:p w14:paraId="67F2CC4E" w14:textId="77777777" w:rsidR="001A6EF2" w:rsidRDefault="001A6EF2" w:rsidP="001A6EF2">
      <w:pPr>
        <w:rPr>
          <w:rFonts w:ascii="FrankRuehl" w:hAnsi="FrankRuehl" w:cs="FrankRuehl" w:hint="cs"/>
          <w:sz w:val="24"/>
          <w:szCs w:val="24"/>
          <w:rtl/>
        </w:rPr>
      </w:pPr>
    </w:p>
    <w:p w14:paraId="6894AFB0" w14:textId="77777777" w:rsidR="001A6EF2" w:rsidRDefault="001A6EF2" w:rsidP="001A6EF2">
      <w:pPr>
        <w:rPr>
          <w:rFonts w:ascii="FrankRuehl" w:hAnsi="FrankRuehl" w:cs="FrankRuehl"/>
          <w:sz w:val="24"/>
          <w:szCs w:val="24"/>
          <w:rtl/>
        </w:rPr>
      </w:pPr>
      <w:r>
        <w:rPr>
          <w:rFonts w:ascii="FrankRuehl" w:hAnsi="FrankRuehl" w:cs="FrankRuehl"/>
          <w:sz w:val="24"/>
          <w:szCs w:val="24"/>
          <w:rtl/>
        </w:rPr>
        <w:t xml:space="preserve">בשמחה ובהתרגשות מצטרפות  ליעקב החוזר סוף סוף מן הגלות הארוכה ארצה . חוזר, וידיו מלאות.  מתנהל בכבדות משהו לרגל המחנה הכבד אשר עמו; הילדים הרכים , הצאן ,הבקר. צולע על ירכו בעקבות מאבקים קשים עם </w:t>
      </w:r>
      <w:proofErr w:type="spellStart"/>
      <w:r>
        <w:rPr>
          <w:rFonts w:ascii="FrankRuehl" w:hAnsi="FrankRuehl" w:cs="FrankRuehl"/>
          <w:sz w:val="24"/>
          <w:szCs w:val="24"/>
          <w:rtl/>
        </w:rPr>
        <w:t>אלהים</w:t>
      </w:r>
      <w:proofErr w:type="spellEnd"/>
      <w:r>
        <w:rPr>
          <w:rFonts w:ascii="FrankRuehl" w:hAnsi="FrankRuehl" w:cs="FrankRuehl"/>
          <w:sz w:val="24"/>
          <w:szCs w:val="24"/>
          <w:rtl/>
        </w:rPr>
        <w:t xml:space="preserve"> ואנשים, אבל חוזר הביתה שלם, וחונה את פני העיר.                                                           מַה יָּפְתָה, מַה קָּשְׁתָה, מָה אָרְכָה הַדֶּרֶך ...</w:t>
      </w:r>
    </w:p>
    <w:p w14:paraId="2B24ED99" w14:textId="77777777" w:rsidR="001A6EF2" w:rsidRDefault="001A6EF2" w:rsidP="001A6EF2">
      <w:pPr>
        <w:rPr>
          <w:rFonts w:ascii="FrankRuehl" w:hAnsi="FrankRuehl" w:cs="FrankRuehl"/>
          <w:sz w:val="24"/>
          <w:szCs w:val="24"/>
          <w:rtl/>
        </w:rPr>
      </w:pPr>
      <w:r>
        <w:rPr>
          <w:rFonts w:ascii="FrankRuehl" w:hAnsi="FrankRuehl" w:cs="FrankRuehl"/>
          <w:sz w:val="24"/>
          <w:szCs w:val="24"/>
          <w:rtl/>
        </w:rPr>
        <w:t xml:space="preserve">וכדרכן של עליות , לא קלה הדרך. ועוד נשאר העניין הוא הבלתי פתור עם עשיו המאיים עד כדי חציית המחנה ומאבק כל הלילה ותפילה ודורון ומלחמה –                                                                                                             אבל הפנים אל הנחת . </w:t>
      </w:r>
    </w:p>
    <w:p w14:paraId="42BBC752" w14:textId="77777777" w:rsidR="001A6EF2" w:rsidRDefault="001A6EF2" w:rsidP="001A6EF2">
      <w:pPr>
        <w:rPr>
          <w:rFonts w:ascii="FrankRuehl" w:hAnsi="FrankRuehl" w:cs="FrankRuehl"/>
          <w:sz w:val="24"/>
          <w:szCs w:val="24"/>
          <w:rtl/>
        </w:rPr>
      </w:pPr>
      <w:r>
        <w:rPr>
          <w:rFonts w:ascii="FrankRuehl" w:hAnsi="FrankRuehl" w:cs="FrankRuehl"/>
          <w:sz w:val="24"/>
          <w:szCs w:val="24"/>
          <w:rtl/>
        </w:rPr>
        <w:t>ועב קטנה , בלתי נראית , בקצה השמים . בקצה השדה .</w:t>
      </w:r>
    </w:p>
    <w:p w14:paraId="38DA6C3B" w14:textId="77777777" w:rsidR="001A6EF2" w:rsidRDefault="001A6EF2" w:rsidP="001A6EF2">
      <w:pPr>
        <w:rPr>
          <w:rFonts w:ascii="FrankRuehl" w:hAnsi="FrankRuehl" w:cs="FrankRuehl"/>
          <w:b/>
          <w:bCs/>
          <w:sz w:val="24"/>
          <w:szCs w:val="24"/>
          <w:rtl/>
        </w:rPr>
      </w:pPr>
    </w:p>
    <w:p w14:paraId="2E76EC4D"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"וַתֵּצֵ֤א דִינָה֙ בַּת־לֵאָ֔ה אֲשֶׁ֥ר יָלְדָ֖ה לְיַעֲקֹ֑ב לִרְא֖וֹת בִּבְנ֥וֹת הָאָֽרֶץ" .</w:t>
      </w:r>
      <w:r>
        <w:rPr>
          <w:rFonts w:ascii="FrankRuehl" w:hAnsi="FrankRuehl" w:cs="FrankRuehl"/>
          <w:sz w:val="24"/>
          <w:szCs w:val="24"/>
          <w:rtl/>
        </w:rPr>
        <w:t xml:space="preserve">כפה אדומה הקטנה לא הלכה לבית הספר ביום שלימדו על הזאב...                                                                                                                                              כמה קשה להיות החדש , הזר בין ילידי הארץ . כמה מסוכן להיות </w:t>
      </w:r>
      <w:proofErr w:type="spellStart"/>
      <w:r>
        <w:rPr>
          <w:rFonts w:ascii="FrankRuehl" w:hAnsi="FrankRuehl" w:cs="FrankRuehl"/>
          <w:sz w:val="24"/>
          <w:szCs w:val="24"/>
          <w:rtl/>
        </w:rPr>
        <w:t>אשה</w:t>
      </w:r>
      <w:proofErr w:type="spellEnd"/>
      <w:r>
        <w:rPr>
          <w:rFonts w:ascii="FrankRuehl" w:hAnsi="FrankRuehl" w:cs="FrankRuehl"/>
          <w:sz w:val="24"/>
          <w:szCs w:val="24"/>
          <w:rtl/>
        </w:rPr>
        <w:t xml:space="preserve"> , ילדה ,בעולמם של אדוני הארץ. יפה , זרה , מסתורית? נחשקת ,וחסרת הגנה.</w:t>
      </w:r>
      <w:r>
        <w:rPr>
          <w:rtl/>
        </w:rPr>
        <w:t xml:space="preserve"> </w:t>
      </w:r>
      <w:r>
        <w:rPr>
          <w:rFonts w:ascii="FrankRuehl" w:hAnsi="FrankRuehl" w:cs="FrankRuehl"/>
          <w:sz w:val="24"/>
          <w:szCs w:val="24"/>
          <w:rtl/>
        </w:rPr>
        <w:t xml:space="preserve">                                                                                                                                  </w:t>
      </w:r>
      <w:r>
        <w:rPr>
          <w:rFonts w:ascii="FrankRuehl" w:hAnsi="FrankRuehl" w:cs="FrankRuehl"/>
          <w:b/>
          <w:bCs/>
          <w:sz w:val="24"/>
          <w:szCs w:val="24"/>
          <w:rtl/>
        </w:rPr>
        <w:t>וַיְעַנֶּֽהָ.</w:t>
      </w:r>
    </w:p>
    <w:p w14:paraId="235409C9" w14:textId="77777777" w:rsidR="001A6EF2" w:rsidRDefault="001A6EF2" w:rsidP="001A6EF2">
      <w:pPr>
        <w:rPr>
          <w:rFonts w:ascii="FrankRuehl" w:hAnsi="FrankRuehl" w:cs="FrankRuehl"/>
          <w:b/>
          <w:bCs/>
          <w:sz w:val="24"/>
          <w:szCs w:val="24"/>
          <w:rtl/>
        </w:rPr>
      </w:pPr>
      <w:r>
        <w:rPr>
          <w:rFonts w:ascii="FrankRuehl" w:hAnsi="FrankRuehl" w:cs="FrankRuehl"/>
          <w:sz w:val="24"/>
          <w:szCs w:val="24"/>
          <w:rtl/>
        </w:rPr>
        <w:t xml:space="preserve">האב , זקן ולמוד אסונות , צועק את כאבו פנימה . מחריש אל מול השמיים שנפלו עליו .                                   האחים , צעירים , לוהטים ,ומלאי עלבון : </w:t>
      </w:r>
      <w:r>
        <w:rPr>
          <w:rFonts w:ascii="FrankRuehl" w:hAnsi="FrankRuehl" w:cs="FrankRuehl"/>
          <w:b/>
          <w:bCs/>
          <w:sz w:val="24"/>
          <w:szCs w:val="24"/>
          <w:rtl/>
        </w:rPr>
        <w:t>"</w:t>
      </w:r>
      <w:proofErr w:type="spellStart"/>
      <w:r>
        <w:rPr>
          <w:rFonts w:ascii="FrankRuehl" w:hAnsi="FrankRuehl" w:cs="FrankRuehl"/>
          <w:b/>
          <w:bCs/>
          <w:sz w:val="24"/>
          <w:szCs w:val="24"/>
          <w:rtl/>
        </w:rPr>
        <w:t>כִּֽי־נְבָלָ֞ה</w:t>
      </w:r>
      <w:proofErr w:type="spellEnd"/>
      <w:r>
        <w:rPr>
          <w:rFonts w:ascii="FrankRuehl" w:hAnsi="FrankRuehl" w:cs="FrankRuehl"/>
          <w:b/>
          <w:bCs/>
          <w:sz w:val="24"/>
          <w:szCs w:val="24"/>
          <w:rtl/>
        </w:rPr>
        <w:t xml:space="preserve"> עָשָׂ֣ה בְיִשְׂרָאֵ֗ל" , "וְכֵ֖ן לֹ֥א יֵעָשֶֽׂה" , "</w:t>
      </w:r>
      <w:proofErr w:type="spellStart"/>
      <w:r>
        <w:rPr>
          <w:rFonts w:ascii="FrankRuehl" w:hAnsi="FrankRuehl" w:cs="FrankRuehl"/>
          <w:b/>
          <w:bCs/>
          <w:sz w:val="24"/>
          <w:szCs w:val="24"/>
          <w:rtl/>
        </w:rPr>
        <w:t>הַכְזוֹנָ֕ה</w:t>
      </w:r>
      <w:proofErr w:type="spellEnd"/>
      <w:r>
        <w:rPr>
          <w:rFonts w:ascii="FrankRuehl" w:hAnsi="FrankRuehl" w:cs="FrankRuehl"/>
          <w:b/>
          <w:bCs/>
          <w:sz w:val="24"/>
          <w:szCs w:val="24"/>
          <w:rtl/>
        </w:rPr>
        <w:t xml:space="preserve"> יַעֲשֶׂ֖ה </w:t>
      </w:r>
      <w:proofErr w:type="spellStart"/>
      <w:r>
        <w:rPr>
          <w:rFonts w:ascii="FrankRuehl" w:hAnsi="FrankRuehl" w:cs="FrankRuehl"/>
          <w:b/>
          <w:bCs/>
          <w:sz w:val="24"/>
          <w:szCs w:val="24"/>
          <w:rtl/>
        </w:rPr>
        <w:t>אֶת־אֲחוֹתֵֽנו</w:t>
      </w:r>
      <w:proofErr w:type="spellEnd"/>
      <w:r>
        <w:rPr>
          <w:rFonts w:ascii="FrankRuehl" w:hAnsi="FrankRuehl" w:cs="FrankRuehl"/>
          <w:b/>
          <w:bCs/>
          <w:sz w:val="24"/>
          <w:szCs w:val="24"/>
          <w:rtl/>
        </w:rPr>
        <w:t xml:space="preserve">ּ" , </w:t>
      </w:r>
      <w:r>
        <w:rPr>
          <w:rFonts w:ascii="FrankRuehl" w:hAnsi="FrankRuehl" w:cs="FrankRuehl"/>
          <w:sz w:val="24"/>
          <w:szCs w:val="24"/>
          <w:rtl/>
        </w:rPr>
        <w:t>פונים באפם להרוג עיר</w:t>
      </w:r>
      <w:r>
        <w:rPr>
          <w:rFonts w:ascii="FrankRuehl" w:hAnsi="FrankRuehl" w:cs="FrankRuehl"/>
          <w:b/>
          <w:bCs/>
          <w:sz w:val="24"/>
          <w:szCs w:val="24"/>
          <w:rtl/>
        </w:rPr>
        <w:t xml:space="preserve"> .</w:t>
      </w:r>
    </w:p>
    <w:p w14:paraId="6A082641" w14:textId="77777777" w:rsidR="001A6EF2" w:rsidRDefault="001A6EF2" w:rsidP="001A6EF2">
      <w:pPr>
        <w:rPr>
          <w:rFonts w:ascii="FrankRuehl" w:hAnsi="FrankRuehl" w:cs="FrankRuehl"/>
          <w:b/>
          <w:bCs/>
          <w:sz w:val="24"/>
          <w:szCs w:val="24"/>
          <w:rtl/>
        </w:rPr>
      </w:pPr>
      <w:proofErr w:type="spellStart"/>
      <w:r>
        <w:rPr>
          <w:rFonts w:ascii="FrankRuehl" w:hAnsi="FrankRuehl" w:cs="FrankRuehl"/>
          <w:b/>
          <w:bCs/>
          <w:sz w:val="24"/>
          <w:szCs w:val="24"/>
          <w:rtl/>
        </w:rPr>
        <w:t>ואמא</w:t>
      </w:r>
      <w:proofErr w:type="spellEnd"/>
      <w:r>
        <w:rPr>
          <w:rFonts w:ascii="FrankRuehl" w:hAnsi="FrankRuehl" w:cs="FrankRuehl"/>
          <w:b/>
          <w:bCs/>
          <w:sz w:val="24"/>
          <w:szCs w:val="24"/>
          <w:rtl/>
        </w:rPr>
        <w:t>?</w:t>
      </w:r>
    </w:p>
    <w:p w14:paraId="55B07B55" w14:textId="77777777" w:rsidR="001A6EF2" w:rsidRDefault="001A6EF2" w:rsidP="001A6EF2">
      <w:pPr>
        <w:rPr>
          <w:rFonts w:ascii="FrankRuehl" w:hAnsi="FrankRuehl" w:cs="FrankRuehl"/>
          <w:b/>
          <w:bCs/>
          <w:sz w:val="24"/>
          <w:szCs w:val="24"/>
          <w:rtl/>
        </w:rPr>
      </w:pPr>
      <w:r>
        <w:rPr>
          <w:rFonts w:ascii="FrankRuehl" w:hAnsi="FrankRuehl" w:cs="FrankRuehl"/>
          <w:sz w:val="24"/>
          <w:szCs w:val="24"/>
          <w:rtl/>
        </w:rPr>
        <w:t>היכן זעקות השבר? הרצפה הנ</w:t>
      </w:r>
      <w:r>
        <w:rPr>
          <w:rFonts w:ascii="FrankRuehl" w:hAnsi="FrankRuehl" w:cs="FrankRuehl"/>
          <w:b/>
          <w:bCs/>
          <w:sz w:val="24"/>
          <w:szCs w:val="24"/>
          <w:rtl/>
        </w:rPr>
        <w:t>שמטת מתחת לרגליים? הבחילה? החיבוק???</w:t>
      </w:r>
    </w:p>
    <w:p w14:paraId="6E783F0C"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 xml:space="preserve">וזעקותיה שלה? וזעקותיה שלה?  </w:t>
      </w:r>
      <w:r>
        <w:rPr>
          <w:rFonts w:ascii="FrankRuehl" w:hAnsi="FrankRuehl" w:cs="FrankRuehl"/>
          <w:sz w:val="24"/>
          <w:szCs w:val="24"/>
          <w:rtl/>
        </w:rPr>
        <w:t>בזמן המעשה... בשביה בביתו</w:t>
      </w:r>
      <w:r>
        <w:rPr>
          <w:rFonts w:ascii="FrankRuehl" w:hAnsi="FrankRuehl" w:cs="FrankRuehl"/>
          <w:b/>
          <w:bCs/>
          <w:sz w:val="24"/>
          <w:szCs w:val="24"/>
          <w:rtl/>
        </w:rPr>
        <w:t xml:space="preserve">... </w:t>
      </w:r>
      <w:r>
        <w:rPr>
          <w:rFonts w:ascii="FrankRuehl" w:hAnsi="FrankRuehl" w:cs="FrankRuehl"/>
          <w:sz w:val="24"/>
          <w:szCs w:val="24"/>
          <w:rtl/>
        </w:rPr>
        <w:t>בשיבתה הביתה?</w:t>
      </w:r>
    </w:p>
    <w:p w14:paraId="1617A107" w14:textId="77777777" w:rsidR="001A6EF2" w:rsidRDefault="001A6EF2" w:rsidP="001A6EF2">
      <w:pPr>
        <w:rPr>
          <w:rFonts w:ascii="FrankRuehl" w:hAnsi="FrankRuehl" w:cs="FrankRuehl"/>
          <w:sz w:val="24"/>
          <w:szCs w:val="24"/>
          <w:rtl/>
        </w:rPr>
      </w:pPr>
      <w:r>
        <w:rPr>
          <w:rFonts w:ascii="FrankRuehl" w:hAnsi="FrankRuehl" w:cs="FrankRuehl"/>
          <w:sz w:val="24"/>
          <w:szCs w:val="24"/>
          <w:rtl/>
        </w:rPr>
        <w:t>בפשט? בחז"ל?</w:t>
      </w:r>
    </w:p>
    <w:p w14:paraId="23895227" w14:textId="77777777" w:rsidR="001A6EF2" w:rsidRDefault="001A6EF2" w:rsidP="001A6EF2">
      <w:pPr>
        <w:rPr>
          <w:rFonts w:ascii="FrankRuehl" w:hAnsi="FrankRuehl" w:cs="FrankRuehl"/>
          <w:b/>
          <w:bCs/>
          <w:sz w:val="24"/>
          <w:szCs w:val="24"/>
          <w:rtl/>
        </w:rPr>
      </w:pPr>
      <w:r>
        <w:rPr>
          <w:rFonts w:ascii="FrankRuehl" w:hAnsi="FrankRuehl" w:cs="FrankRuehl"/>
          <w:sz w:val="24"/>
          <w:szCs w:val="24"/>
          <w:rtl/>
        </w:rPr>
        <w:t xml:space="preserve">ראו את </w:t>
      </w:r>
      <w:r>
        <w:rPr>
          <w:rFonts w:ascii="FrankRuehl" w:hAnsi="FrankRuehl" w:cs="FrankRuehl"/>
          <w:b/>
          <w:bCs/>
          <w:sz w:val="24"/>
          <w:szCs w:val="24"/>
          <w:rtl/>
        </w:rPr>
        <w:t xml:space="preserve">תמר </w:t>
      </w:r>
      <w:r>
        <w:rPr>
          <w:rFonts w:ascii="FrankRuehl" w:hAnsi="FrankRuehl" w:cs="FrankRuehl"/>
          <w:sz w:val="24"/>
          <w:szCs w:val="24"/>
          <w:rtl/>
        </w:rPr>
        <w:t>המתחננת על נפשה בפני אמנון, והזועקת את חרפתה בראש חוצות</w:t>
      </w:r>
      <w:r>
        <w:rPr>
          <w:rFonts w:ascii="FrankRuehl" w:hAnsi="FrankRuehl" w:cs="FrankRuehl"/>
          <w:b/>
          <w:bCs/>
          <w:sz w:val="24"/>
          <w:szCs w:val="24"/>
          <w:rtl/>
        </w:rPr>
        <w:t xml:space="preserve"> (ושוב : "החרישי" .  כמו "והחרש יעקב"...)</w:t>
      </w:r>
      <w:r>
        <w:rPr>
          <w:rStyle w:val="ad"/>
          <w:rFonts w:ascii="FrankRuehl" w:hAnsi="FrankRuehl" w:cs="FrankRuehl"/>
          <w:b/>
          <w:bCs/>
          <w:sz w:val="24"/>
          <w:szCs w:val="24"/>
          <w:rtl/>
        </w:rPr>
        <w:footnoteReference w:id="1"/>
      </w:r>
    </w:p>
    <w:p w14:paraId="66215604"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ומי ירפא?</w:t>
      </w:r>
    </w:p>
    <w:p w14:paraId="27EDCBF8" w14:textId="77777777" w:rsidR="001A6EF2" w:rsidRDefault="001A6EF2" w:rsidP="001A6EF2">
      <w:pPr>
        <w:jc w:val="center"/>
        <w:rPr>
          <w:rFonts w:ascii="FrankRuehl" w:hAnsi="FrankRuehl" w:cs="FrankRuehl"/>
          <w:b/>
          <w:bCs/>
          <w:sz w:val="24"/>
          <w:szCs w:val="24"/>
          <w:rtl/>
        </w:rPr>
      </w:pPr>
      <w:r>
        <w:rPr>
          <w:rFonts w:ascii="FrankRuehl" w:hAnsi="FrankRuehl" w:cs="FrankRuehl"/>
          <w:b/>
          <w:bCs/>
          <w:sz w:val="24"/>
          <w:szCs w:val="24"/>
          <w:rtl/>
        </w:rPr>
        <w:t>*</w:t>
      </w:r>
    </w:p>
    <w:p w14:paraId="68B6ADE0" w14:textId="77777777" w:rsidR="001A6EF2" w:rsidRDefault="001A6EF2" w:rsidP="001A6EF2">
      <w:pPr>
        <w:rPr>
          <w:rFonts w:ascii="FrankRuehl" w:hAnsi="FrankRuehl" w:cs="FrankRuehl"/>
          <w:sz w:val="24"/>
          <w:szCs w:val="24"/>
          <w:rtl/>
        </w:rPr>
      </w:pPr>
      <w:r>
        <w:rPr>
          <w:rFonts w:ascii="FrankRuehl" w:hAnsi="FrankRuehl" w:cs="FrankRuehl"/>
          <w:sz w:val="24"/>
          <w:szCs w:val="24"/>
          <w:rtl/>
        </w:rPr>
        <w:t>כמה הצעות בחז"ל לשיקומה . לאחריתה . האם נשאה לשמעון?</w:t>
      </w:r>
      <w:r>
        <w:rPr>
          <w:rStyle w:val="ad"/>
          <w:rFonts w:ascii="FrankRuehl" w:hAnsi="FrankRuehl" w:cs="FrankRuehl"/>
          <w:sz w:val="24"/>
          <w:szCs w:val="24"/>
          <w:rtl/>
        </w:rPr>
        <w:footnoteReference w:id="2"/>
      </w:r>
      <w:r>
        <w:rPr>
          <w:rFonts w:ascii="FrankRuehl" w:hAnsi="FrankRuehl" w:cs="FrankRuehl"/>
          <w:sz w:val="24"/>
          <w:szCs w:val="24"/>
          <w:rtl/>
        </w:rPr>
        <w:t xml:space="preserve"> האם </w:t>
      </w:r>
      <w:proofErr w:type="spellStart"/>
      <w:r>
        <w:rPr>
          <w:rFonts w:ascii="FrankRuehl" w:hAnsi="FrankRuehl" w:cs="FrankRuehl"/>
          <w:sz w:val="24"/>
          <w:szCs w:val="24"/>
          <w:rtl/>
        </w:rPr>
        <w:t>נתגלגלה</w:t>
      </w:r>
      <w:proofErr w:type="spellEnd"/>
      <w:r>
        <w:rPr>
          <w:rFonts w:ascii="FrankRuehl" w:hAnsi="FrankRuehl" w:cs="FrankRuehl"/>
          <w:sz w:val="24"/>
          <w:szCs w:val="24"/>
          <w:rtl/>
        </w:rPr>
        <w:t xml:space="preserve"> בתה (שנולדה לה במדרש)למצרים ,לביתה של אשת </w:t>
      </w:r>
      <w:proofErr w:type="spellStart"/>
      <w:r>
        <w:rPr>
          <w:rFonts w:ascii="FrankRuehl" w:hAnsi="FrankRuehl" w:cs="FrankRuehl"/>
          <w:sz w:val="24"/>
          <w:szCs w:val="24"/>
          <w:rtl/>
        </w:rPr>
        <w:t>פוטיפר</w:t>
      </w:r>
      <w:proofErr w:type="spellEnd"/>
      <w:r>
        <w:rPr>
          <w:rFonts w:ascii="FrankRuehl" w:hAnsi="FrankRuehl" w:cs="FrankRuehl"/>
          <w:sz w:val="24"/>
          <w:szCs w:val="24"/>
          <w:rtl/>
        </w:rPr>
        <w:t xml:space="preserve">, להיות שם </w:t>
      </w:r>
      <w:proofErr w:type="spellStart"/>
      <w:r>
        <w:rPr>
          <w:rFonts w:ascii="FrankRuehl" w:hAnsi="FrankRuehl" w:cs="FrankRuehl"/>
          <w:sz w:val="24"/>
          <w:szCs w:val="24"/>
          <w:rtl/>
        </w:rPr>
        <w:t>אשה</w:t>
      </w:r>
      <w:proofErr w:type="spellEnd"/>
      <w:r>
        <w:rPr>
          <w:rFonts w:ascii="FrankRuehl" w:hAnsi="FrankRuehl" w:cs="FrankRuehl"/>
          <w:sz w:val="24"/>
          <w:szCs w:val="24"/>
          <w:rtl/>
        </w:rPr>
        <w:t xml:space="preserve"> ליוסף?</w:t>
      </w:r>
      <w:r>
        <w:rPr>
          <w:rStyle w:val="ad"/>
          <w:rFonts w:ascii="FrankRuehl" w:hAnsi="FrankRuehl" w:cs="FrankRuehl"/>
          <w:sz w:val="24"/>
          <w:szCs w:val="24"/>
          <w:rtl/>
        </w:rPr>
        <w:footnoteReference w:id="3"/>
      </w:r>
      <w:r>
        <w:rPr>
          <w:rFonts w:ascii="FrankRuehl" w:hAnsi="FrankRuehl" w:cs="FrankRuehl"/>
          <w:sz w:val="24"/>
          <w:szCs w:val="24"/>
          <w:rtl/>
        </w:rPr>
        <w:t xml:space="preserve"> ומה בין דרשה זו לזו?  </w:t>
      </w:r>
    </w:p>
    <w:p w14:paraId="433960D6" w14:textId="77777777" w:rsidR="001A6EF2" w:rsidRDefault="001A6EF2" w:rsidP="001A6EF2">
      <w:pPr>
        <w:rPr>
          <w:rFonts w:ascii="FrankRuehl" w:hAnsi="FrankRuehl" w:cs="FrankRuehl"/>
          <w:sz w:val="24"/>
          <w:szCs w:val="24"/>
          <w:rtl/>
        </w:rPr>
      </w:pPr>
      <w:r>
        <w:rPr>
          <w:rFonts w:ascii="FrankRuehl" w:hAnsi="FrankRuehl" w:cs="FrankRuehl"/>
          <w:sz w:val="24"/>
          <w:szCs w:val="24"/>
          <w:rtl/>
        </w:rPr>
        <w:lastRenderedPageBreak/>
        <w:t xml:space="preserve">ולמה התכוון רבי אבא בר כהנא באמרו : </w:t>
      </w:r>
      <w:r>
        <w:rPr>
          <w:rFonts w:ascii="FrankRuehl" w:hAnsi="FrankRuehl" w:cs="FrankRuehl"/>
          <w:b/>
          <w:bCs/>
          <w:sz w:val="24"/>
          <w:szCs w:val="24"/>
          <w:rtl/>
        </w:rPr>
        <w:t xml:space="preserve">"דינה אשתו של איוב </w:t>
      </w:r>
      <w:proofErr w:type="spellStart"/>
      <w:r>
        <w:rPr>
          <w:rFonts w:ascii="FrankRuehl" w:hAnsi="FrankRuehl" w:cs="FrankRuehl"/>
          <w:b/>
          <w:bCs/>
          <w:sz w:val="24"/>
          <w:szCs w:val="24"/>
          <w:rtl/>
        </w:rPr>
        <w:t>היתה</w:t>
      </w:r>
      <w:proofErr w:type="spellEnd"/>
      <w:r>
        <w:rPr>
          <w:rFonts w:ascii="FrankRuehl" w:hAnsi="FrankRuehl" w:cs="FrankRuehl"/>
          <w:b/>
          <w:bCs/>
          <w:sz w:val="24"/>
          <w:szCs w:val="24"/>
          <w:rtl/>
        </w:rPr>
        <w:t xml:space="preserve"> "?</w:t>
      </w:r>
      <w:r>
        <w:rPr>
          <w:rStyle w:val="ad"/>
          <w:rFonts w:ascii="FrankRuehl" w:hAnsi="FrankRuehl" w:cs="FrankRuehl"/>
          <w:b/>
          <w:bCs/>
          <w:sz w:val="24"/>
          <w:szCs w:val="24"/>
          <w:rtl/>
        </w:rPr>
        <w:footnoteReference w:id="4"/>
      </w:r>
      <w:r>
        <w:rPr>
          <w:rFonts w:ascii="FrankRuehl" w:hAnsi="FrankRuehl" w:cs="FrankRuehl"/>
          <w:sz w:val="24"/>
          <w:szCs w:val="24"/>
          <w:rtl/>
        </w:rPr>
        <w:t xml:space="preserve"> </w:t>
      </w:r>
    </w:p>
    <w:p w14:paraId="0B44D241" w14:textId="77777777" w:rsidR="001A6EF2" w:rsidRDefault="001A6EF2" w:rsidP="001A6EF2">
      <w:pPr>
        <w:rPr>
          <w:rFonts w:ascii="FrankRuehl" w:hAnsi="FrankRuehl" w:cs="FrankRuehl"/>
          <w:sz w:val="24"/>
          <w:szCs w:val="24"/>
          <w:rtl/>
        </w:rPr>
      </w:pPr>
      <w:r>
        <w:rPr>
          <w:rFonts w:ascii="FrankRuehl" w:hAnsi="FrankRuehl" w:cs="FrankRuehl"/>
          <w:sz w:val="24"/>
          <w:szCs w:val="24"/>
          <w:rtl/>
        </w:rPr>
        <w:t xml:space="preserve">את דבריו הוא סומך על הופעת המילה הקשה </w:t>
      </w:r>
      <w:r>
        <w:rPr>
          <w:rFonts w:ascii="FrankRuehl" w:hAnsi="FrankRuehl" w:cs="FrankRuehl"/>
          <w:b/>
          <w:bCs/>
          <w:sz w:val="24"/>
          <w:szCs w:val="24"/>
          <w:rtl/>
        </w:rPr>
        <w:t>"נבלה"</w:t>
      </w:r>
      <w:r>
        <w:rPr>
          <w:rFonts w:ascii="FrankRuehl" w:hAnsi="FrankRuehl" w:cs="FrankRuehl"/>
          <w:sz w:val="24"/>
          <w:szCs w:val="24"/>
          <w:rtl/>
        </w:rPr>
        <w:t xml:space="preserve"> בשני הסיפורים .בסיפורנו:</w:t>
      </w:r>
      <w:r>
        <w:rPr>
          <w:rFonts w:ascii="FrankRuehl" w:hAnsi="FrankRuehl" w:cs="FrankRuehl"/>
          <w:b/>
          <w:bCs/>
          <w:sz w:val="24"/>
          <w:szCs w:val="24"/>
          <w:rtl/>
        </w:rPr>
        <w:t>"</w:t>
      </w:r>
      <w:proofErr w:type="spellStart"/>
      <w:r>
        <w:rPr>
          <w:rFonts w:ascii="FrankRuehl" w:hAnsi="FrankRuehl" w:cs="FrankRuehl"/>
          <w:b/>
          <w:bCs/>
          <w:sz w:val="24"/>
          <w:szCs w:val="24"/>
          <w:rtl/>
        </w:rPr>
        <w:t>כִּֽי־נְבָלָ֞ה</w:t>
      </w:r>
      <w:proofErr w:type="spellEnd"/>
      <w:r>
        <w:rPr>
          <w:rFonts w:ascii="FrankRuehl" w:hAnsi="FrankRuehl" w:cs="FrankRuehl"/>
          <w:b/>
          <w:bCs/>
          <w:sz w:val="24"/>
          <w:szCs w:val="24"/>
          <w:rtl/>
        </w:rPr>
        <w:t xml:space="preserve"> עָשָׂ֣ה בְיִשְׂרָאֵ֗ל"</w:t>
      </w:r>
      <w:r>
        <w:rPr>
          <w:rFonts w:ascii="FrankRuehl" w:hAnsi="FrankRuehl" w:cs="FrankRuehl"/>
          <w:sz w:val="24"/>
          <w:szCs w:val="24"/>
          <w:rtl/>
        </w:rPr>
        <w:t xml:space="preserve"> ואצל אשת איוב בנזיפתו בה על דבריה </w:t>
      </w:r>
      <w:r>
        <w:rPr>
          <w:rFonts w:ascii="FrankRuehl" w:hAnsi="FrankRuehl" w:cs="FrankRuehl"/>
          <w:b/>
          <w:bCs/>
          <w:sz w:val="24"/>
          <w:szCs w:val="24"/>
          <w:rtl/>
        </w:rPr>
        <w:t xml:space="preserve">:" בָּרֵ֥ךְ </w:t>
      </w:r>
      <w:proofErr w:type="spellStart"/>
      <w:r>
        <w:rPr>
          <w:rFonts w:ascii="FrankRuehl" w:hAnsi="FrankRuehl" w:cs="FrankRuehl"/>
          <w:b/>
          <w:bCs/>
          <w:sz w:val="24"/>
          <w:szCs w:val="24"/>
          <w:rtl/>
        </w:rPr>
        <w:t>אֱלֹהִ֖ים</w:t>
      </w:r>
      <w:proofErr w:type="spellEnd"/>
      <w:r>
        <w:rPr>
          <w:rFonts w:ascii="FrankRuehl" w:hAnsi="FrankRuehl" w:cs="FrankRuehl"/>
          <w:b/>
          <w:bCs/>
          <w:sz w:val="24"/>
          <w:szCs w:val="24"/>
          <w:rtl/>
        </w:rPr>
        <w:t xml:space="preserve"> וָמֻֽת" </w:t>
      </w:r>
      <w:r>
        <w:rPr>
          <w:rFonts w:ascii="FrankRuehl" w:hAnsi="FrankRuehl" w:cs="FrankRuehl"/>
          <w:sz w:val="24"/>
          <w:szCs w:val="24"/>
          <w:rtl/>
        </w:rPr>
        <w:t>–</w:t>
      </w:r>
      <w:r>
        <w:rPr>
          <w:rFonts w:ascii="FrankRuehl" w:hAnsi="FrankRuehl" w:cs="FrankRuehl"/>
          <w:b/>
          <w:bCs/>
          <w:sz w:val="24"/>
          <w:szCs w:val="24"/>
          <w:rtl/>
        </w:rPr>
        <w:t xml:space="preserve"> "כְּדַבֵּ֞ר אַחַ֤ת הַנְּבָלוֹת֙ תְּדַבֵּ֔רִי</w:t>
      </w:r>
      <w:r>
        <w:rPr>
          <w:b/>
          <w:bCs/>
          <w:rtl/>
        </w:rPr>
        <w:t>"</w:t>
      </w:r>
      <w:r>
        <w:rPr>
          <w:rtl/>
        </w:rPr>
        <w:t xml:space="preserve"> </w:t>
      </w:r>
      <w:r>
        <w:rPr>
          <w:rStyle w:val="ad"/>
          <w:rFonts w:ascii="FrankRuehl" w:hAnsi="FrankRuehl" w:cs="FrankRuehl"/>
          <w:sz w:val="24"/>
          <w:szCs w:val="24"/>
          <w:rtl/>
        </w:rPr>
        <w:footnoteReference w:id="5"/>
      </w:r>
      <w:r>
        <w:rPr>
          <w:rFonts w:ascii="FrankRuehl" w:hAnsi="FrankRuehl" w:cs="FrankRuehl"/>
          <w:sz w:val="24"/>
          <w:szCs w:val="24"/>
          <w:rtl/>
        </w:rPr>
        <w:t xml:space="preserve"> </w:t>
      </w:r>
    </w:p>
    <w:p w14:paraId="6A42B94A" w14:textId="77777777" w:rsidR="001A6EF2" w:rsidRDefault="001A6EF2" w:rsidP="001A6EF2">
      <w:pPr>
        <w:rPr>
          <w:rFonts w:ascii="FrankRuehl" w:hAnsi="FrankRuehl" w:cs="FrankRuehl"/>
          <w:sz w:val="24"/>
          <w:szCs w:val="24"/>
          <w:rtl/>
        </w:rPr>
      </w:pPr>
      <w:r>
        <w:rPr>
          <w:rFonts w:ascii="FrankRuehl" w:hAnsi="FrankRuehl" w:cs="FrankRuehl"/>
          <w:sz w:val="24"/>
          <w:szCs w:val="24"/>
          <w:rtl/>
        </w:rPr>
        <w:t>השוואת לשונות בלבד?</w:t>
      </w:r>
    </w:p>
    <w:p w14:paraId="1CCB3622" w14:textId="77777777" w:rsidR="001A6EF2" w:rsidRDefault="001A6EF2" w:rsidP="001A6EF2">
      <w:pPr>
        <w:rPr>
          <w:rFonts w:ascii="FrankRuehl" w:hAnsi="FrankRuehl" w:cs="FrankRuehl"/>
          <w:sz w:val="24"/>
          <w:szCs w:val="24"/>
          <w:rtl/>
        </w:rPr>
      </w:pPr>
      <w:r>
        <w:rPr>
          <w:rFonts w:ascii="FrankRuehl" w:hAnsi="FrankRuehl" w:cs="FrankRuehl"/>
          <w:sz w:val="24"/>
          <w:szCs w:val="24"/>
          <w:rtl/>
        </w:rPr>
        <w:t xml:space="preserve">חברתי שרה פרידלנד בן ארזה מוצאת בדרשה זו את קולה הנעלם: כשחכמים </w:t>
      </w:r>
      <w:r>
        <w:rPr>
          <w:rFonts w:ascii="FrankRuehl" w:hAnsi="FrankRuehl" w:cs="FrankRuehl"/>
          <w:b/>
          <w:bCs/>
          <w:sz w:val="24"/>
          <w:szCs w:val="24"/>
          <w:rtl/>
        </w:rPr>
        <w:t xml:space="preserve">"גואלים אותה מאילמותה, ופורקים את עלבונה השתוק ב"ברכת" ה'". </w:t>
      </w:r>
      <w:r>
        <w:rPr>
          <w:rFonts w:ascii="FrankRuehl" w:hAnsi="FrankRuehl" w:cs="FrankRuehl"/>
          <w:sz w:val="24"/>
          <w:szCs w:val="24"/>
          <w:rtl/>
        </w:rPr>
        <w:t>דינה שותקת, תמר מושתקת, אך חכמים לדבריה זועקים את עלבונה וכאבה . בזיהויה עם אשת איוב היא מסרבת לברך על הרעה כעל הטובה או אפילו להחריש, ומבכרת לקלל את יומה ולמות .</w:t>
      </w:r>
      <w:r>
        <w:rPr>
          <w:rFonts w:ascii="FrankRuehl" w:hAnsi="FrankRuehl" w:cs="FrankRuehl"/>
          <w:b/>
          <w:bCs/>
          <w:sz w:val="24"/>
          <w:szCs w:val="24"/>
          <w:rtl/>
        </w:rPr>
        <w:t xml:space="preserve"> "נשים מקראיות אלו בשברן אילמות"</w:t>
      </w:r>
      <w:r>
        <w:rPr>
          <w:rFonts w:ascii="FrankRuehl" w:hAnsi="FrankRuehl" w:cs="FrankRuehl"/>
          <w:sz w:val="24"/>
          <w:szCs w:val="24"/>
          <w:rtl/>
        </w:rPr>
        <w:t xml:space="preserve"> , היא כותבת , </w:t>
      </w:r>
      <w:r>
        <w:rPr>
          <w:rFonts w:ascii="FrankRuehl" w:hAnsi="FrankRuehl" w:cs="FrankRuehl"/>
          <w:b/>
          <w:bCs/>
          <w:sz w:val="24"/>
          <w:szCs w:val="24"/>
          <w:rtl/>
        </w:rPr>
        <w:t>"פיהן פתחו חכמים בחוכמה, ותורת חסד על לשונם</w:t>
      </w:r>
      <w:r>
        <w:rPr>
          <w:rFonts w:ascii="FrankRuehl" w:hAnsi="FrankRuehl" w:cs="FrankRuehl"/>
          <w:sz w:val="24"/>
          <w:szCs w:val="24"/>
          <w:rtl/>
        </w:rPr>
        <w:t>".</w:t>
      </w:r>
      <w:r>
        <w:rPr>
          <w:rStyle w:val="ad"/>
          <w:rFonts w:ascii="FrankRuehl" w:hAnsi="FrankRuehl" w:cs="FrankRuehl"/>
          <w:sz w:val="24"/>
          <w:szCs w:val="24"/>
          <w:rtl/>
        </w:rPr>
        <w:footnoteReference w:id="6"/>
      </w:r>
    </w:p>
    <w:p w14:paraId="3AE87F8F"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 xml:space="preserve">"אֶ֭רֶץ </w:t>
      </w:r>
      <w:proofErr w:type="spellStart"/>
      <w:r>
        <w:rPr>
          <w:rFonts w:ascii="FrankRuehl" w:hAnsi="FrankRuehl" w:cs="FrankRuehl"/>
          <w:b/>
          <w:bCs/>
          <w:sz w:val="24"/>
          <w:szCs w:val="24"/>
          <w:rtl/>
        </w:rPr>
        <w:t>אַל־תְּכַסִּ֣י</w:t>
      </w:r>
      <w:proofErr w:type="spellEnd"/>
      <w:r>
        <w:rPr>
          <w:rFonts w:ascii="FrankRuehl" w:hAnsi="FrankRuehl" w:cs="FrankRuehl"/>
          <w:b/>
          <w:bCs/>
          <w:sz w:val="24"/>
          <w:szCs w:val="24"/>
          <w:rtl/>
        </w:rPr>
        <w:t xml:space="preserve"> דָמִ֑י </w:t>
      </w:r>
      <w:proofErr w:type="spellStart"/>
      <w:r>
        <w:rPr>
          <w:rFonts w:ascii="FrankRuehl" w:hAnsi="FrankRuehl" w:cs="FrankRuehl"/>
          <w:b/>
          <w:bCs/>
          <w:sz w:val="24"/>
          <w:szCs w:val="24"/>
          <w:rtl/>
        </w:rPr>
        <w:t>וְֽאַל־יְהִ֥י</w:t>
      </w:r>
      <w:proofErr w:type="spellEnd"/>
      <w:r>
        <w:rPr>
          <w:rFonts w:ascii="FrankRuehl" w:hAnsi="FrankRuehl" w:cs="FrankRuehl"/>
          <w:b/>
          <w:bCs/>
          <w:sz w:val="24"/>
          <w:szCs w:val="24"/>
          <w:rtl/>
        </w:rPr>
        <w:t xml:space="preserve"> מָ֝ק֗וֹם לְזַעֲקָתִֽי"</w:t>
      </w:r>
      <w:r>
        <w:rPr>
          <w:rStyle w:val="ad"/>
          <w:rFonts w:ascii="FrankRuehl" w:hAnsi="FrankRuehl" w:cs="FrankRuehl"/>
          <w:b/>
          <w:bCs/>
          <w:sz w:val="24"/>
          <w:szCs w:val="24"/>
          <w:rtl/>
        </w:rPr>
        <w:footnoteReference w:id="7"/>
      </w:r>
      <w:r>
        <w:rPr>
          <w:rFonts w:ascii="FrankRuehl" w:hAnsi="FrankRuehl" w:cs="FrankRuehl"/>
          <w:b/>
          <w:bCs/>
          <w:sz w:val="24"/>
          <w:szCs w:val="24"/>
          <w:rtl/>
        </w:rPr>
        <w:t xml:space="preserve"> </w:t>
      </w:r>
      <w:r>
        <w:rPr>
          <w:rFonts w:ascii="FrankRuehl" w:hAnsi="FrankRuehl" w:cs="FrankRuehl"/>
          <w:sz w:val="24"/>
          <w:szCs w:val="24"/>
          <w:rtl/>
        </w:rPr>
        <w:t>מתחנן איוב .</w:t>
      </w:r>
      <w:r>
        <w:rPr>
          <w:rFonts w:ascii="FrankRuehl" w:hAnsi="FrankRuehl" w:cs="FrankRuehl"/>
          <w:b/>
          <w:bCs/>
          <w:sz w:val="24"/>
          <w:szCs w:val="24"/>
          <w:rtl/>
        </w:rPr>
        <w:t xml:space="preserve"> " חָנֻּ֬נִי </w:t>
      </w:r>
      <w:proofErr w:type="spellStart"/>
      <w:r>
        <w:rPr>
          <w:rFonts w:ascii="FrankRuehl" w:hAnsi="FrankRuehl" w:cs="FrankRuehl"/>
          <w:b/>
          <w:bCs/>
          <w:sz w:val="24"/>
          <w:szCs w:val="24"/>
          <w:rtl/>
        </w:rPr>
        <w:t>חָנֻּ֣נִי</w:t>
      </w:r>
      <w:proofErr w:type="spellEnd"/>
      <w:r>
        <w:rPr>
          <w:rFonts w:ascii="FrankRuehl" w:hAnsi="FrankRuehl" w:cs="FrankRuehl"/>
          <w:b/>
          <w:bCs/>
          <w:sz w:val="24"/>
          <w:szCs w:val="24"/>
          <w:rtl/>
        </w:rPr>
        <w:t xml:space="preserve"> אַתֶּ֣ם רֵעָ֑י... </w:t>
      </w:r>
      <w:proofErr w:type="spellStart"/>
      <w:r>
        <w:rPr>
          <w:rFonts w:ascii="FrankRuehl" w:hAnsi="FrankRuehl" w:cs="FrankRuehl"/>
          <w:b/>
          <w:bCs/>
          <w:sz w:val="24"/>
          <w:szCs w:val="24"/>
          <w:rtl/>
        </w:rPr>
        <w:t>מִֽי־יִתֵּ֣ן</w:t>
      </w:r>
      <w:proofErr w:type="spellEnd"/>
      <w:r>
        <w:rPr>
          <w:rFonts w:ascii="FrankRuehl" w:hAnsi="FrankRuehl" w:cs="FrankRuehl"/>
          <w:b/>
          <w:bCs/>
          <w:sz w:val="24"/>
          <w:szCs w:val="24"/>
          <w:rtl/>
        </w:rPr>
        <w:t xml:space="preserve"> אֵ֭פוֹ וְיִכָּתְב֣וּן מִלָּ֑י </w:t>
      </w:r>
      <w:proofErr w:type="spellStart"/>
      <w:r>
        <w:rPr>
          <w:rFonts w:ascii="FrankRuehl" w:hAnsi="FrankRuehl" w:cs="FrankRuehl"/>
          <w:b/>
          <w:bCs/>
          <w:sz w:val="24"/>
          <w:szCs w:val="24"/>
          <w:rtl/>
        </w:rPr>
        <w:t>מִֽי־יִתֵּ֖ן</w:t>
      </w:r>
      <w:proofErr w:type="spellEnd"/>
      <w:r>
        <w:rPr>
          <w:rFonts w:ascii="FrankRuehl" w:hAnsi="FrankRuehl" w:cs="FrankRuehl"/>
          <w:b/>
          <w:bCs/>
          <w:sz w:val="24"/>
          <w:szCs w:val="24"/>
          <w:rtl/>
        </w:rPr>
        <w:t xml:space="preserve"> בַּסֵּ֣פֶר וְיֻחָֽקוּ: </w:t>
      </w:r>
      <w:proofErr w:type="spellStart"/>
      <w:r>
        <w:rPr>
          <w:rFonts w:ascii="FrankRuehl" w:hAnsi="FrankRuehl" w:cs="FrankRuehl"/>
          <w:b/>
          <w:bCs/>
          <w:sz w:val="24"/>
          <w:szCs w:val="24"/>
          <w:rtl/>
        </w:rPr>
        <w:t>בְּעֵט־בַּרְזֶ֥ל</w:t>
      </w:r>
      <w:proofErr w:type="spellEnd"/>
      <w:r>
        <w:rPr>
          <w:rFonts w:ascii="FrankRuehl" w:hAnsi="FrankRuehl" w:cs="FrankRuehl"/>
          <w:b/>
          <w:bCs/>
          <w:sz w:val="24"/>
          <w:szCs w:val="24"/>
          <w:rtl/>
        </w:rPr>
        <w:t xml:space="preserve"> וְעֹפָ֑רֶת לָ֝עַ֗ד בַּצּ֥וּר יֵחָצְבֽוּן: וַאֲנִ֣י יָ֭דַעְתִּי גֹּ֣אֲלִי חָ֑י וְ֝אַחֲר֗וֹן </w:t>
      </w:r>
      <w:proofErr w:type="spellStart"/>
      <w:r>
        <w:rPr>
          <w:rFonts w:ascii="FrankRuehl" w:hAnsi="FrankRuehl" w:cs="FrankRuehl"/>
          <w:b/>
          <w:bCs/>
          <w:sz w:val="24"/>
          <w:szCs w:val="24"/>
          <w:rtl/>
        </w:rPr>
        <w:t>עַל־עָפָ֥ר</w:t>
      </w:r>
      <w:proofErr w:type="spellEnd"/>
      <w:r>
        <w:rPr>
          <w:rFonts w:ascii="FrankRuehl" w:hAnsi="FrankRuehl" w:cs="FrankRuehl"/>
          <w:b/>
          <w:bCs/>
          <w:sz w:val="24"/>
          <w:szCs w:val="24"/>
          <w:rtl/>
        </w:rPr>
        <w:t xml:space="preserve"> יָקֽוּם"</w:t>
      </w:r>
      <w:r>
        <w:rPr>
          <w:rStyle w:val="ad"/>
          <w:rFonts w:ascii="FrankRuehl" w:hAnsi="FrankRuehl" w:cs="FrankRuehl"/>
          <w:b/>
          <w:bCs/>
          <w:sz w:val="24"/>
          <w:szCs w:val="24"/>
          <w:rtl/>
        </w:rPr>
        <w:footnoteReference w:id="8"/>
      </w:r>
      <w:r>
        <w:rPr>
          <w:rFonts w:ascii="FrankRuehl" w:hAnsi="FrankRuehl" w:cs="FrankRuehl"/>
          <w:b/>
          <w:bCs/>
          <w:sz w:val="24"/>
          <w:szCs w:val="24"/>
          <w:rtl/>
        </w:rPr>
        <w:t xml:space="preserve">  .</w:t>
      </w:r>
    </w:p>
    <w:p w14:paraId="04725630" w14:textId="77777777" w:rsidR="001A6EF2" w:rsidRDefault="001A6EF2" w:rsidP="001A6EF2">
      <w:pPr>
        <w:rPr>
          <w:rFonts w:ascii="FrankRuehl" w:hAnsi="FrankRuehl" w:cs="FrankRuehl"/>
          <w:b/>
          <w:bCs/>
          <w:sz w:val="24"/>
          <w:szCs w:val="24"/>
          <w:rtl/>
        </w:rPr>
      </w:pPr>
      <w:r>
        <w:rPr>
          <w:rFonts w:ascii="FrankRuehl" w:hAnsi="FrankRuehl" w:cs="FrankRuehl"/>
          <w:sz w:val="24"/>
          <w:szCs w:val="24"/>
          <w:rtl/>
        </w:rPr>
        <w:t>ובלשונם של הפרטיזנים:</w:t>
      </w:r>
      <w:r>
        <w:rPr>
          <w:rFonts w:ascii="FrankRuehl" w:hAnsi="FrankRuehl" w:cs="FrankRuehl"/>
          <w:b/>
          <w:bCs/>
          <w:sz w:val="24"/>
          <w:szCs w:val="24"/>
          <w:rtl/>
        </w:rPr>
        <w:t xml:space="preserve"> אַךְ אִם חָלִילָה יְאַחֵר לָבוֹא הָאוֹר , כְּמוֹ סִיסְמָה יְהֵא הַשִּׁיר מִדּוֹר לְדוֹר</w:t>
      </w:r>
      <w:r>
        <w:rPr>
          <w:rStyle w:val="ad"/>
          <w:rFonts w:ascii="FrankRuehl" w:hAnsi="FrankRuehl" w:cs="FrankRuehl"/>
          <w:b/>
          <w:bCs/>
          <w:sz w:val="24"/>
          <w:szCs w:val="24"/>
          <w:rtl/>
        </w:rPr>
        <w:footnoteReference w:id="9"/>
      </w:r>
      <w:r>
        <w:rPr>
          <w:rFonts w:ascii="FrankRuehl" w:hAnsi="FrankRuehl" w:cs="FrankRuehl"/>
          <w:b/>
          <w:bCs/>
          <w:sz w:val="24"/>
          <w:szCs w:val="24"/>
          <w:rtl/>
        </w:rPr>
        <w:t>.</w:t>
      </w:r>
    </w:p>
    <w:p w14:paraId="31611C9F" w14:textId="77777777" w:rsidR="001A6EF2" w:rsidRDefault="001A6EF2" w:rsidP="001A6EF2">
      <w:pPr>
        <w:rPr>
          <w:rFonts w:ascii="FrankRuehl" w:hAnsi="FrankRuehl" w:cs="FrankRuehl"/>
          <w:sz w:val="24"/>
          <w:szCs w:val="24"/>
          <w:rtl/>
        </w:rPr>
      </w:pPr>
      <w:r>
        <w:rPr>
          <w:rFonts w:ascii="FrankRuehl" w:hAnsi="FrankRuehl" w:cs="FrankRuehl"/>
          <w:sz w:val="24"/>
          <w:szCs w:val="24"/>
          <w:rtl/>
        </w:rPr>
        <w:t>זו גאולתו של הנרמס . שקולו ימשיך ויהדהד . ימשיך וישמע . למענו . למען אחרים . למען אחרות...</w:t>
      </w:r>
    </w:p>
    <w:p w14:paraId="7593C78A"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שהחיינו וקיימנו והגיענו להיוולד בדור הזה .</w:t>
      </w:r>
    </w:p>
    <w:p w14:paraId="415AF9C9" w14:textId="77777777" w:rsidR="001A6EF2" w:rsidRDefault="001A6EF2" w:rsidP="001A6EF2">
      <w:pPr>
        <w:rPr>
          <w:rFonts w:ascii="FrankRuehl" w:hAnsi="FrankRuehl" w:cs="FrankRuehl"/>
          <w:sz w:val="24"/>
          <w:szCs w:val="24"/>
          <w:rtl/>
        </w:rPr>
      </w:pPr>
    </w:p>
    <w:p w14:paraId="5A2D6936" w14:textId="77777777" w:rsidR="001A6EF2" w:rsidRDefault="001A6EF2" w:rsidP="001A6EF2">
      <w:pPr>
        <w:rPr>
          <w:rFonts w:ascii="FrankRuehl" w:hAnsi="FrankRuehl" w:cs="FrankRuehl"/>
          <w:b/>
          <w:bCs/>
          <w:sz w:val="24"/>
          <w:szCs w:val="24"/>
          <w:rtl/>
        </w:rPr>
      </w:pPr>
      <w:r>
        <w:rPr>
          <w:rFonts w:ascii="FrankRuehl" w:hAnsi="FrankRuehl" w:cs="FrankRuehl"/>
          <w:sz w:val="24"/>
          <w:szCs w:val="24"/>
          <w:rtl/>
        </w:rPr>
        <w:t xml:space="preserve">במדרש-עוד פרקים רבים לסיפור; השידוך שלא התממש לעשיו </w:t>
      </w:r>
      <w:r>
        <w:rPr>
          <w:rStyle w:val="ad"/>
          <w:rFonts w:ascii="FrankRuehl" w:hAnsi="FrankRuehl" w:cs="FrankRuehl"/>
          <w:sz w:val="24"/>
          <w:szCs w:val="24"/>
          <w:rtl/>
        </w:rPr>
        <w:footnoteReference w:id="10"/>
      </w:r>
      <w:r>
        <w:rPr>
          <w:rFonts w:ascii="FrankRuehl" w:hAnsi="FrankRuehl" w:cs="FrankRuehl"/>
          <w:sz w:val="24"/>
          <w:szCs w:val="24"/>
          <w:rtl/>
        </w:rPr>
        <w:t>( ומי יודע... ), ונישואי אסנת ליוסף</w:t>
      </w:r>
      <w:r>
        <w:rPr>
          <w:rStyle w:val="ad"/>
          <w:rFonts w:ascii="FrankRuehl" w:hAnsi="FrankRuehl" w:cs="FrankRuehl"/>
          <w:sz w:val="24"/>
          <w:szCs w:val="24"/>
          <w:rtl/>
        </w:rPr>
        <w:footnoteReference w:id="11"/>
      </w:r>
      <w:r>
        <w:rPr>
          <w:rFonts w:ascii="FrankRuehl" w:hAnsi="FrankRuehl" w:cs="FrankRuehl"/>
          <w:sz w:val="24"/>
          <w:szCs w:val="24"/>
          <w:rtl/>
        </w:rPr>
        <w:t xml:space="preserve">. גם שכם בן חמור ראוי למבט נוסף .השוו למשל בינו לבין אמנון לאחר מעשה! ומדרשם המופלא של חז"ל על כך </w:t>
      </w:r>
      <w:r>
        <w:rPr>
          <w:rStyle w:val="ad"/>
          <w:rFonts w:ascii="FrankRuehl" w:hAnsi="FrankRuehl" w:cs="FrankRuehl"/>
          <w:sz w:val="24"/>
          <w:szCs w:val="24"/>
          <w:rtl/>
        </w:rPr>
        <w:footnoteReference w:id="12"/>
      </w:r>
      <w:r>
        <w:rPr>
          <w:rFonts w:ascii="FrankRuehl" w:hAnsi="FrankRuehl" w:cs="FrankRuehl"/>
          <w:sz w:val="24"/>
          <w:szCs w:val="24"/>
          <w:rtl/>
        </w:rPr>
        <w:t xml:space="preserve"> (אל תחמיצי!) . </w:t>
      </w:r>
      <w:r>
        <w:rPr>
          <w:rFonts w:ascii="FrankRuehl" w:hAnsi="FrankRuehl" w:cs="FrankRuehl"/>
          <w:b/>
          <w:bCs/>
          <w:sz w:val="24"/>
          <w:szCs w:val="24"/>
          <w:rtl/>
        </w:rPr>
        <w:t xml:space="preserve">רציתי הפעם לפנות את הבמה לה לבדה , ולנשים רבות אחרות שקולן לא נשמע . לפתוח </w:t>
      </w:r>
      <w:proofErr w:type="spellStart"/>
      <w:r>
        <w:rPr>
          <w:rFonts w:ascii="FrankRuehl" w:hAnsi="FrankRuehl" w:cs="FrankRuehl"/>
          <w:b/>
          <w:bCs/>
          <w:sz w:val="24"/>
          <w:szCs w:val="24"/>
          <w:rtl/>
        </w:rPr>
        <w:t>אזניים</w:t>
      </w:r>
      <w:proofErr w:type="spellEnd"/>
      <w:r>
        <w:rPr>
          <w:rFonts w:ascii="FrankRuehl" w:hAnsi="FrankRuehl" w:cs="FrankRuehl"/>
          <w:b/>
          <w:bCs/>
          <w:sz w:val="24"/>
          <w:szCs w:val="24"/>
          <w:rtl/>
        </w:rPr>
        <w:t xml:space="preserve"> ולב . </w:t>
      </w:r>
    </w:p>
    <w:p w14:paraId="1B2A2A9D" w14:textId="77777777" w:rsidR="001A6EF2" w:rsidRDefault="001A6EF2" w:rsidP="001A6EF2">
      <w:pPr>
        <w:rPr>
          <w:rFonts w:ascii="FrankRuehl" w:hAnsi="FrankRuehl" w:cs="FrankRuehl"/>
          <w:b/>
          <w:bCs/>
          <w:sz w:val="24"/>
          <w:szCs w:val="24"/>
          <w:rtl/>
        </w:rPr>
      </w:pPr>
    </w:p>
    <w:p w14:paraId="3BB19563" w14:textId="77777777" w:rsidR="001A6EF2" w:rsidRDefault="001A6EF2" w:rsidP="001A6EF2">
      <w:pPr>
        <w:rPr>
          <w:rFonts w:ascii="FrankRuehl" w:hAnsi="FrankRuehl" w:cs="FrankRuehl"/>
          <w:b/>
          <w:bCs/>
          <w:sz w:val="24"/>
          <w:szCs w:val="24"/>
          <w:rtl/>
        </w:rPr>
      </w:pPr>
      <w:r>
        <w:rPr>
          <w:rFonts w:ascii="FrankRuehl" w:hAnsi="FrankRuehl" w:cs="FrankRuehl"/>
          <w:b/>
          <w:bCs/>
          <w:sz w:val="24"/>
          <w:szCs w:val="24"/>
          <w:rtl/>
        </w:rPr>
        <w:t>שבת שלום!</w:t>
      </w:r>
    </w:p>
    <w:p w14:paraId="26BCD454" w14:textId="77777777" w:rsidR="001A6EF2" w:rsidRDefault="001A6EF2" w:rsidP="001A6EF2">
      <w:pPr>
        <w:rPr>
          <w:rFonts w:ascii="FrankRuehl" w:hAnsi="FrankRuehl" w:cs="FrankRuehl"/>
          <w:sz w:val="24"/>
          <w:szCs w:val="24"/>
          <w:rtl/>
        </w:rPr>
      </w:pPr>
      <w:r>
        <w:rPr>
          <w:rFonts w:ascii="FrankRuehl" w:hAnsi="FrankRuehl" w:cs="FrankRuehl"/>
          <w:sz w:val="24"/>
          <w:szCs w:val="24"/>
          <w:rtl/>
        </w:rPr>
        <w:t>אסנת</w:t>
      </w:r>
    </w:p>
    <w:p w14:paraId="1BBCB5DE" w14:textId="501B1018" w:rsidR="00FA2F35" w:rsidRPr="001A6EF2" w:rsidRDefault="001A6EF2" w:rsidP="001A6EF2">
      <w:pPr>
        <w:rPr>
          <w:rFonts w:ascii="FrankRuehl" w:hAnsi="FrankRuehl" w:cs="FrankRuehl"/>
          <w:sz w:val="24"/>
          <w:szCs w:val="24"/>
          <w:rtl/>
        </w:rPr>
      </w:pPr>
      <w:r>
        <w:rPr>
          <w:rFonts w:ascii="FrankRuehl" w:hAnsi="FrankRuehl" w:cs="FrankRuehl"/>
          <w:sz w:val="24"/>
          <w:szCs w:val="24"/>
        </w:rPr>
        <w:t>asnatbs@gmail.com</w:t>
      </w:r>
      <w:bookmarkStart w:id="0" w:name="_GoBack"/>
      <w:bookmarkEnd w:id="0"/>
    </w:p>
    <w:sectPr w:rsidR="00FA2F35" w:rsidRPr="001A6EF2"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 w:id="1">
    <w:p w14:paraId="243CB6E2"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שמואל ב </w:t>
      </w:r>
      <w:proofErr w:type="spellStart"/>
      <w:r>
        <w:rPr>
          <w:rFonts w:ascii="FrankRuehl" w:hAnsi="FrankRuehl" w:cs="FrankRuehl"/>
          <w:rtl/>
        </w:rPr>
        <w:t>יג</w:t>
      </w:r>
      <w:proofErr w:type="spellEnd"/>
    </w:p>
  </w:footnote>
  <w:footnote w:id="2">
    <w:p w14:paraId="4840D258" w14:textId="77777777" w:rsidR="001A6EF2" w:rsidRDefault="001A6EF2" w:rsidP="001A6EF2">
      <w:pPr>
        <w:pStyle w:val="ab"/>
        <w:rPr>
          <w:rFonts w:ascii="FrankRuehl" w:hAnsi="FrankRuehl" w:cs="FrankRueh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על פי בראשית רבה  פ יא ,ועייני שם במניעיו למעשה . </w:t>
      </w:r>
      <w:proofErr w:type="spellStart"/>
      <w:r>
        <w:rPr>
          <w:rFonts w:ascii="FrankRuehl" w:hAnsi="FrankRuehl" w:cs="FrankRuehl"/>
          <w:rtl/>
        </w:rPr>
        <w:t>השוי</w:t>
      </w:r>
      <w:proofErr w:type="spellEnd"/>
      <w:r>
        <w:rPr>
          <w:rFonts w:ascii="FrankRuehl" w:hAnsi="FrankRuehl" w:cs="FrankRuehl"/>
          <w:rtl/>
        </w:rPr>
        <w:t xml:space="preserve"> גם לאבשלום הכונס את תמר אל ביתו, שמ"א </w:t>
      </w:r>
      <w:proofErr w:type="spellStart"/>
      <w:r>
        <w:rPr>
          <w:rFonts w:ascii="FrankRuehl" w:hAnsi="FrankRuehl" w:cs="FrankRuehl"/>
          <w:rtl/>
        </w:rPr>
        <w:t>יג</w:t>
      </w:r>
      <w:proofErr w:type="spellEnd"/>
    </w:p>
  </w:footnote>
  <w:footnote w:id="3">
    <w:p w14:paraId="79D2566D" w14:textId="77777777" w:rsidR="001A6EF2" w:rsidRDefault="001A6EF2" w:rsidP="001A6EF2">
      <w:pPr>
        <w:pStyle w:val="ab"/>
        <w:rPr>
          <w:rFonts w:ascii="FrankRuehl" w:hAnsi="FrankRuehl" w:cs="FrankRueh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על פי פרקי דרבי אליעזר פרק לח</w:t>
      </w:r>
    </w:p>
  </w:footnote>
  <w:footnote w:id="4">
    <w:p w14:paraId="154A9959" w14:textId="77777777" w:rsidR="001A6EF2" w:rsidRDefault="001A6EF2" w:rsidP="001A6EF2">
      <w:pPr>
        <w:pStyle w:val="ab"/>
        <w:rPr>
          <w:rFonts w:ascii="FrankRuehl" w:hAnsi="FrankRuehl" w:cs="FrankRueh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בראשית רבה (</w:t>
      </w:r>
      <w:proofErr w:type="spellStart"/>
      <w:r>
        <w:rPr>
          <w:rFonts w:ascii="FrankRuehl" w:hAnsi="FrankRuehl" w:cs="FrankRuehl"/>
          <w:rtl/>
        </w:rPr>
        <w:t>וילנא</w:t>
      </w:r>
      <w:proofErr w:type="spellEnd"/>
      <w:r>
        <w:rPr>
          <w:rFonts w:ascii="FrankRuehl" w:hAnsi="FrankRuehl" w:cs="FrankRuehl"/>
          <w:rtl/>
        </w:rPr>
        <w:t xml:space="preserve">) פרשת בראשית פרשה </w:t>
      </w:r>
      <w:proofErr w:type="spellStart"/>
      <w:r>
        <w:rPr>
          <w:rFonts w:ascii="FrankRuehl" w:hAnsi="FrankRuehl" w:cs="FrankRuehl"/>
          <w:rtl/>
        </w:rPr>
        <w:t>יט</w:t>
      </w:r>
      <w:proofErr w:type="spellEnd"/>
    </w:p>
  </w:footnote>
  <w:footnote w:id="5">
    <w:p w14:paraId="69E9A7A6" w14:textId="77777777" w:rsidR="001A6EF2" w:rsidRDefault="001A6EF2" w:rsidP="001A6EF2">
      <w:pPr>
        <w:pStyle w:val="ab"/>
        <w:rPr>
          <w:rFonts w:ascii="FrankRuehl" w:hAnsi="FrankRuehl" w:cs="FrankRueh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איוב פרק ב</w:t>
      </w:r>
    </w:p>
  </w:footnote>
  <w:footnote w:id="6">
    <w:p w14:paraId="43D16D9C"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ראו מאמרה : שרה פרידלנד בן ארזה ,פתחים של מרי : חז"ל מוחים דרך פיותיהן של נשים מקראיות. מופיע גם ברשת: </w:t>
      </w:r>
      <w:r>
        <w:rPr>
          <w:rFonts w:ascii="FrankRuehl" w:hAnsi="FrankRuehl" w:cs="FrankRuehl"/>
        </w:rPr>
        <w:t>https://lib.pshita.cet.ac.il/pages/item.asp?item=16916%20%20%20%20%20%20%20%20%20%20%20%20&amp;author=2538</w:t>
      </w:r>
    </w:p>
  </w:footnote>
  <w:footnote w:id="7">
    <w:p w14:paraId="5466DF80"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איוב </w:t>
      </w:r>
      <w:proofErr w:type="spellStart"/>
      <w:r>
        <w:rPr>
          <w:rFonts w:ascii="FrankRuehl" w:hAnsi="FrankRuehl" w:cs="FrankRuehl"/>
          <w:rtl/>
        </w:rPr>
        <w:t>טז</w:t>
      </w:r>
      <w:proofErr w:type="spellEnd"/>
      <w:r>
        <w:rPr>
          <w:rFonts w:ascii="FrankRuehl" w:hAnsi="FrankRuehl" w:cs="FrankRuehl"/>
          <w:rtl/>
        </w:rPr>
        <w:t xml:space="preserve"> </w:t>
      </w:r>
      <w:proofErr w:type="spellStart"/>
      <w:r>
        <w:rPr>
          <w:rFonts w:ascii="FrankRuehl" w:hAnsi="FrankRuehl" w:cs="FrankRuehl"/>
          <w:rtl/>
        </w:rPr>
        <w:t>יח</w:t>
      </w:r>
      <w:proofErr w:type="spellEnd"/>
    </w:p>
  </w:footnote>
  <w:footnote w:id="8">
    <w:p w14:paraId="09990593"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איוב </w:t>
      </w:r>
      <w:proofErr w:type="spellStart"/>
      <w:r>
        <w:rPr>
          <w:rFonts w:ascii="FrankRuehl" w:hAnsi="FrankRuehl" w:cs="FrankRuehl"/>
          <w:rtl/>
        </w:rPr>
        <w:t>יט</w:t>
      </w:r>
      <w:proofErr w:type="spellEnd"/>
      <w:r>
        <w:rPr>
          <w:rFonts w:ascii="FrankRuehl" w:hAnsi="FrankRuehl" w:cs="FrankRuehl"/>
          <w:rtl/>
        </w:rPr>
        <w:t xml:space="preserve"> </w:t>
      </w:r>
      <w:proofErr w:type="spellStart"/>
      <w:r>
        <w:rPr>
          <w:rFonts w:ascii="FrankRuehl" w:hAnsi="FrankRuehl" w:cs="FrankRuehl"/>
          <w:rtl/>
        </w:rPr>
        <w:t>כא</w:t>
      </w:r>
      <w:proofErr w:type="spellEnd"/>
      <w:r>
        <w:rPr>
          <w:rFonts w:ascii="FrankRuehl" w:hAnsi="FrankRuehl" w:cs="FrankRuehl"/>
          <w:rtl/>
        </w:rPr>
        <w:t>-כה</w:t>
      </w:r>
    </w:p>
  </w:footnote>
  <w:footnote w:id="9">
    <w:p w14:paraId="4E77843C" w14:textId="77777777" w:rsidR="001A6EF2" w:rsidRDefault="001A6EF2" w:rsidP="001A6EF2">
      <w:pPr>
        <w:pStyle w:val="ab"/>
        <w:rPr>
          <w:rFonts w:ascii="FrankRuehl" w:hAnsi="FrankRuehl" w:cs="FrankRuehl"/>
        </w:rPr>
      </w:pPr>
      <w:r>
        <w:rPr>
          <w:rStyle w:val="ad"/>
          <w:rFonts w:ascii="FrankRuehl" w:hAnsi="FrankRuehl" w:cs="FrankRuehl"/>
        </w:rPr>
        <w:footnoteRef/>
      </w:r>
      <w:r>
        <w:rPr>
          <w:rFonts w:ascii="FrankRuehl" w:hAnsi="FrankRuehl" w:cs="FrankRuehl"/>
          <w:rtl/>
        </w:rPr>
        <w:t xml:space="preserve"> </w:t>
      </w:r>
      <w:r>
        <w:rPr>
          <w:rFonts w:ascii="FrankRuehl" w:hAnsi="FrankRuehl" w:cs="FrankRuehl" w:hint="cs"/>
          <w:rtl/>
        </w:rPr>
        <w:t>שיר הפרטיזנים ,הירש גליק בתרגום אברהם שלונסקי</w:t>
      </w:r>
    </w:p>
  </w:footnote>
  <w:footnote w:id="10">
    <w:p w14:paraId="5A18D59A" w14:textId="77777777" w:rsidR="001A6EF2" w:rsidRDefault="001A6EF2" w:rsidP="001A6EF2">
      <w:pPr>
        <w:pStyle w:val="ab"/>
        <w:rPr>
          <w:rFonts w:ascii="FrankRuehl" w:hAnsi="FrankRuehl" w:cs="FrankRuehl" w:hint="cs"/>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בראשית רבה </w:t>
      </w:r>
      <w:proofErr w:type="spellStart"/>
      <w:r>
        <w:rPr>
          <w:rFonts w:ascii="FrankRuehl" w:hAnsi="FrankRuehl" w:cs="FrankRuehl"/>
          <w:rtl/>
        </w:rPr>
        <w:t>עו</w:t>
      </w:r>
      <w:proofErr w:type="spellEnd"/>
      <w:r>
        <w:rPr>
          <w:rFonts w:ascii="FrankRuehl" w:hAnsi="FrankRuehl" w:cs="FrankRuehl"/>
          <w:rtl/>
        </w:rPr>
        <w:t xml:space="preserve"> ט</w:t>
      </w:r>
    </w:p>
  </w:footnote>
  <w:footnote w:id="11">
    <w:p w14:paraId="05C74CB1"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פרקי דרבי אליעזר פרק לח , העושים סוג של לכתחילה , או תיקון אחרת לסיפור</w:t>
      </w:r>
    </w:p>
  </w:footnote>
  <w:footnote w:id="12">
    <w:p w14:paraId="49D5CA50" w14:textId="77777777" w:rsidR="001A6EF2" w:rsidRDefault="001A6EF2" w:rsidP="001A6EF2">
      <w:pPr>
        <w:pStyle w:val="ab"/>
        <w:rPr>
          <w:rFonts w:ascii="FrankRuehl" w:hAnsi="FrankRuehl" w:cs="FrankRuehl"/>
          <w:rtl/>
        </w:rPr>
      </w:pPr>
      <w:r>
        <w:rPr>
          <w:rStyle w:val="ad"/>
          <w:rFonts w:ascii="FrankRuehl" w:hAnsi="FrankRuehl" w:cs="FrankRuehl"/>
        </w:rPr>
        <w:footnoteRef/>
      </w:r>
      <w:r>
        <w:rPr>
          <w:rFonts w:ascii="FrankRuehl" w:hAnsi="FrankRuehl" w:cs="FrankRuehl"/>
          <w:rtl/>
        </w:rPr>
        <w:t xml:space="preserve"> </w:t>
      </w:r>
      <w:r>
        <w:rPr>
          <w:rFonts w:ascii="FrankRuehl" w:hAnsi="FrankRuehl" w:cs="FrankRuehl"/>
          <w:rtl/>
        </w:rPr>
        <w:t xml:space="preserve">בראשית רבה פ ז :  " וידבר חמור אתם </w:t>
      </w:r>
      <w:proofErr w:type="spellStart"/>
      <w:r>
        <w:rPr>
          <w:rFonts w:ascii="FrankRuehl" w:hAnsi="FrankRuehl" w:cs="FrankRuehl"/>
          <w:rtl/>
        </w:rPr>
        <w:t>לאמר</w:t>
      </w:r>
      <w:proofErr w:type="spellEnd"/>
      <w:r>
        <w:rPr>
          <w:rFonts w:ascii="FrankRuehl" w:hAnsi="FrankRuehl" w:cs="FrankRuehl"/>
          <w:rtl/>
        </w:rPr>
        <w:t xml:space="preserve">, ר"ל אמר בג' לשונות של חבה חבב הקדוש ברוך הוא את ישראל, בדביקה, בחשיקה, </w:t>
      </w:r>
      <w:proofErr w:type="spellStart"/>
      <w:r>
        <w:rPr>
          <w:rFonts w:ascii="FrankRuehl" w:hAnsi="FrankRuehl" w:cs="FrankRuehl"/>
          <w:rtl/>
        </w:rPr>
        <w:t>ובחפיצה</w:t>
      </w:r>
      <w:proofErr w:type="spellEnd"/>
      <w:r>
        <w:rPr>
          <w:rFonts w:ascii="FrankRuehl" w:hAnsi="FrankRuehl" w:cs="FrankRuehl"/>
          <w:rtl/>
        </w:rPr>
        <w:t xml:space="preserve"> ... ואנו למדים אותה מפרשה של רשע הזה, בדביקה, ותדבק נפשו, בחשיקה, שכם בני חשקה נפשו בבתכם, </w:t>
      </w:r>
      <w:proofErr w:type="spellStart"/>
      <w:r>
        <w:rPr>
          <w:rFonts w:ascii="FrankRuehl" w:hAnsi="FrankRuehl" w:cs="FrankRuehl"/>
          <w:rtl/>
        </w:rPr>
        <w:t>בחפיצה</w:t>
      </w:r>
      <w:proofErr w:type="spellEnd"/>
      <w:r>
        <w:rPr>
          <w:rFonts w:ascii="FrankRuehl" w:hAnsi="FrankRuehl" w:cs="FrankRuehl"/>
          <w:rtl/>
        </w:rPr>
        <w:t xml:space="preserve">, כי חפץ בבת יעקב..., ר' אבא בר אלישע מוסיף אף </w:t>
      </w:r>
      <w:proofErr w:type="spellStart"/>
      <w:r>
        <w:rPr>
          <w:rFonts w:ascii="FrankRuehl" w:hAnsi="FrankRuehl" w:cs="FrankRuehl"/>
          <w:rtl/>
        </w:rPr>
        <w:t>תרתין</w:t>
      </w:r>
      <w:proofErr w:type="spellEnd"/>
      <w:r>
        <w:rPr>
          <w:rFonts w:ascii="FrankRuehl" w:hAnsi="FrankRuehl" w:cs="FrankRuehl"/>
          <w:rtl/>
        </w:rPr>
        <w:t xml:space="preserve"> באהבה ודיבור, באהבה (שם /מלאכי/ א) אהבתי אתכם, בדיבור (ישעיה מ) דברו על לב ירושלים, ואנו למדים מפרשתו של רשע הזה, באהבה ויאהב את הנערה, בדיבור וידבר על לב הנערה, וכי יש לך אדם שמדבר על הלב אלא דברים שמיישבים את הלב  " ראי שם בעיון</w:t>
      </w:r>
    </w:p>
    <w:p w14:paraId="29BF38C1" w14:textId="77777777" w:rsidR="001A6EF2" w:rsidRDefault="001A6EF2" w:rsidP="001A6EF2">
      <w:pPr>
        <w:pStyle w:val="ab"/>
        <w:rPr>
          <w:rFonts w:ascii="FrankRuehl" w:hAnsi="FrankRuehl" w:cs="FrankRuehl"/>
          <w:rtl/>
        </w:rPr>
      </w:pPr>
    </w:p>
    <w:p w14:paraId="27F107DA" w14:textId="77777777" w:rsidR="001A6EF2" w:rsidRDefault="001A6EF2" w:rsidP="001A6EF2">
      <w:pPr>
        <w:pStyle w:val="ab"/>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A6EF2"/>
    <w:rsid w:val="00215C70"/>
    <w:rsid w:val="00267ABD"/>
    <w:rsid w:val="0029221E"/>
    <w:rsid w:val="003842F2"/>
    <w:rsid w:val="004B1F67"/>
    <w:rsid w:val="00535FAE"/>
    <w:rsid w:val="006357B9"/>
    <w:rsid w:val="006A647B"/>
    <w:rsid w:val="006B5312"/>
    <w:rsid w:val="00A135D3"/>
    <w:rsid w:val="00A248B7"/>
    <w:rsid w:val="00B215CE"/>
    <w:rsid w:val="00B33304"/>
    <w:rsid w:val="00B43C88"/>
    <w:rsid w:val="00B85544"/>
    <w:rsid w:val="00C55370"/>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1A6EF2"/>
    <w:pPr>
      <w:spacing w:after="0" w:line="240" w:lineRule="auto"/>
    </w:pPr>
    <w:rPr>
      <w:sz w:val="20"/>
      <w:szCs w:val="20"/>
    </w:rPr>
  </w:style>
  <w:style w:type="character" w:customStyle="1" w:styleId="ac">
    <w:name w:val="טקסט הערת שוליים תו"/>
    <w:basedOn w:val="a0"/>
    <w:link w:val="ab"/>
    <w:uiPriority w:val="99"/>
    <w:semiHidden/>
    <w:rsid w:val="001A6EF2"/>
    <w:rPr>
      <w:sz w:val="20"/>
      <w:szCs w:val="20"/>
    </w:rPr>
  </w:style>
  <w:style w:type="character" w:styleId="ad">
    <w:name w:val="footnote reference"/>
    <w:basedOn w:val="a0"/>
    <w:uiPriority w:val="99"/>
    <w:semiHidden/>
    <w:unhideWhenUsed/>
    <w:rsid w:val="001A6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070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3026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2020-12-02T06:09:00Z</dcterms:created>
  <dcterms:modified xsi:type="dcterms:W3CDTF">2020-12-02T06:09:00Z</dcterms:modified>
</cp:coreProperties>
</file>