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4B" w:rsidRPr="00FE794B" w:rsidRDefault="00FE794B" w:rsidP="00FE794B">
      <w:pPr>
        <w:widowControl w:val="0"/>
        <w:autoSpaceDE w:val="0"/>
        <w:autoSpaceDN w:val="0"/>
        <w:adjustRightInd w:val="0"/>
        <w:spacing w:line="360" w:lineRule="auto"/>
        <w:ind w:firstLine="418"/>
        <w:rPr>
          <w:rFonts w:cs="David" w:hint="cs"/>
          <w:rtl/>
        </w:rPr>
      </w:pPr>
      <w:r>
        <w:rPr>
          <w:rFonts w:cs="David" w:hint="cs"/>
          <w:rtl/>
        </w:rPr>
        <w:t xml:space="preserve">בס"ד, כסלו </w:t>
      </w:r>
      <w:proofErr w:type="spellStart"/>
      <w:r>
        <w:rPr>
          <w:rFonts w:cs="David" w:hint="cs"/>
          <w:rtl/>
        </w:rPr>
        <w:t>תש"ף</w:t>
      </w:r>
      <w:proofErr w:type="spellEnd"/>
    </w:p>
    <w:p w:rsidR="00FE794B" w:rsidRDefault="00FE794B" w:rsidP="00FE794B">
      <w:pPr>
        <w:widowControl w:val="0"/>
        <w:autoSpaceDE w:val="0"/>
        <w:autoSpaceDN w:val="0"/>
        <w:adjustRightInd w:val="0"/>
        <w:spacing w:line="360" w:lineRule="auto"/>
        <w:ind w:firstLine="418"/>
        <w:rPr>
          <w:rFonts w:cs="David" w:hint="cs"/>
          <w:u w:val="single"/>
          <w:rtl/>
        </w:rPr>
      </w:pPr>
    </w:p>
    <w:p w:rsidR="00FE794B" w:rsidRDefault="00FE794B" w:rsidP="00FE794B">
      <w:pPr>
        <w:spacing w:line="360" w:lineRule="auto"/>
        <w:ind w:firstLine="386"/>
        <w:jc w:val="center"/>
        <w:rPr>
          <w:rFonts w:cs="David"/>
          <w:b/>
          <w:bCs/>
          <w:sz w:val="28"/>
          <w:szCs w:val="28"/>
          <w:u w:val="single"/>
          <w:rtl/>
        </w:rPr>
      </w:pPr>
      <w:r w:rsidRPr="00A13712">
        <w:rPr>
          <w:rFonts w:ascii="Calibri" w:hAnsi="Calibri"/>
          <w:b/>
          <w:bCs/>
          <w:color w:val="000000"/>
          <w:sz w:val="28"/>
          <w:szCs w:val="28"/>
          <w:rtl/>
        </w:rPr>
        <w:t> </w:t>
      </w:r>
      <w:r w:rsidRPr="00A13712">
        <w:rPr>
          <w:rFonts w:ascii="Calibri" w:hAnsi="Calibri"/>
          <w:b/>
          <w:bCs/>
          <w:color w:val="000000"/>
          <w:sz w:val="40"/>
          <w:szCs w:val="40"/>
          <w:rtl/>
        </w:rPr>
        <w:t xml:space="preserve">דבר תורה לפרשת </w:t>
      </w:r>
      <w:r>
        <w:rPr>
          <w:rFonts w:ascii="Calibri" w:hAnsi="Calibri" w:hint="cs"/>
          <w:b/>
          <w:bCs/>
          <w:color w:val="000000"/>
          <w:sz w:val="40"/>
          <w:szCs w:val="40"/>
          <w:rtl/>
        </w:rPr>
        <w:t>וישלח</w:t>
      </w:r>
      <w:r>
        <w:rPr>
          <w:rFonts w:ascii="Calibri" w:hAnsi="Calibri" w:hint="cs"/>
          <w:b/>
          <w:bCs/>
          <w:color w:val="000000"/>
          <w:sz w:val="40"/>
          <w:szCs w:val="40"/>
          <w:rtl/>
        </w:rPr>
        <w:t xml:space="preserve"> - הרב ד"ר ארי לנדא</w:t>
      </w:r>
    </w:p>
    <w:p w:rsidR="00FE794B" w:rsidRDefault="00FE794B" w:rsidP="00FE794B">
      <w:pPr>
        <w:widowControl w:val="0"/>
        <w:autoSpaceDE w:val="0"/>
        <w:autoSpaceDN w:val="0"/>
        <w:adjustRightInd w:val="0"/>
        <w:spacing w:line="360" w:lineRule="auto"/>
        <w:ind w:firstLine="418"/>
        <w:jc w:val="center"/>
        <w:rPr>
          <w:rFonts w:cs="David" w:hint="cs"/>
          <w:u w:val="single"/>
          <w:rtl/>
        </w:rPr>
      </w:pPr>
    </w:p>
    <w:p w:rsidR="00FE794B" w:rsidRDefault="00FE794B" w:rsidP="00FE794B">
      <w:pPr>
        <w:widowControl w:val="0"/>
        <w:autoSpaceDE w:val="0"/>
        <w:autoSpaceDN w:val="0"/>
        <w:adjustRightInd w:val="0"/>
        <w:spacing w:line="360" w:lineRule="auto"/>
        <w:ind w:firstLine="418"/>
        <w:jc w:val="center"/>
        <w:rPr>
          <w:rFonts w:cs="David" w:hint="cs"/>
          <w:b/>
          <w:bCs/>
          <w:color w:val="000000"/>
          <w:sz w:val="36"/>
          <w:szCs w:val="36"/>
          <w:rtl/>
        </w:rPr>
      </w:pPr>
      <w:r w:rsidRPr="00FE794B">
        <w:rPr>
          <w:rFonts w:cs="David" w:hint="cs"/>
          <w:b/>
          <w:bCs/>
          <w:sz w:val="36"/>
          <w:szCs w:val="36"/>
          <w:u w:val="single"/>
          <w:rtl/>
        </w:rPr>
        <w:t>אין סומכים על הנס</w:t>
      </w:r>
    </w:p>
    <w:p w:rsidR="00FE794B" w:rsidRPr="00FE794B" w:rsidRDefault="00FE794B" w:rsidP="00FE794B">
      <w:pPr>
        <w:widowControl w:val="0"/>
        <w:autoSpaceDE w:val="0"/>
        <w:autoSpaceDN w:val="0"/>
        <w:adjustRightInd w:val="0"/>
        <w:spacing w:line="276" w:lineRule="auto"/>
        <w:ind w:firstLine="418"/>
        <w:jc w:val="center"/>
        <w:rPr>
          <w:rFonts w:cs="David" w:hint="cs"/>
          <w:b/>
          <w:bCs/>
          <w:color w:val="000000"/>
          <w:sz w:val="36"/>
          <w:szCs w:val="36"/>
          <w:rtl/>
        </w:rPr>
      </w:pPr>
      <w:bookmarkStart w:id="0" w:name="_GoBack"/>
      <w:bookmarkEnd w:id="0"/>
    </w:p>
    <w:p w:rsidR="00FE794B" w:rsidRDefault="00FE794B" w:rsidP="00FE794B">
      <w:pPr>
        <w:widowControl w:val="0"/>
        <w:autoSpaceDE w:val="0"/>
        <w:autoSpaceDN w:val="0"/>
        <w:adjustRightInd w:val="0"/>
        <w:spacing w:line="360" w:lineRule="auto"/>
        <w:ind w:firstLine="418"/>
        <w:rPr>
          <w:rFonts w:cs="David" w:hint="cs"/>
          <w:color w:val="000000"/>
          <w:rtl/>
        </w:rPr>
      </w:pPr>
      <w:r>
        <w:rPr>
          <w:rFonts w:cs="David" w:hint="cs"/>
          <w:color w:val="000000"/>
          <w:rtl/>
        </w:rPr>
        <w:t xml:space="preserve">בתחילת הפרשה יעקב  אבינו נערך לפגישתו עם עשו. </w:t>
      </w:r>
      <w:r>
        <w:rPr>
          <w:rFonts w:cs="David" w:hint="cs"/>
          <w:color w:val="000000"/>
          <w:sz w:val="22"/>
          <w:szCs w:val="22"/>
          <w:rtl/>
        </w:rPr>
        <w:t>(</w:t>
      </w:r>
      <w:r w:rsidRPr="00D302F1">
        <w:rPr>
          <w:rFonts w:cs="David"/>
          <w:color w:val="000000"/>
          <w:sz w:val="22"/>
          <w:szCs w:val="22"/>
          <w:rtl/>
        </w:rPr>
        <w:t>פרק לב</w:t>
      </w:r>
      <w:r>
        <w:rPr>
          <w:rFonts w:cs="David" w:hint="cs"/>
          <w:color w:val="000000"/>
          <w:sz w:val="22"/>
          <w:szCs w:val="22"/>
          <w:rtl/>
        </w:rPr>
        <w:t>) "</w:t>
      </w:r>
      <w:r w:rsidRPr="00D302F1">
        <w:rPr>
          <w:color w:val="FF0000"/>
          <w:rtl/>
        </w:rPr>
        <w:t xml:space="preserve"> </w:t>
      </w:r>
      <w:r w:rsidRPr="00D302F1">
        <w:rPr>
          <w:color w:val="000000"/>
          <w:rtl/>
        </w:rPr>
        <w:t>(ד) וַיִּשְׁלַח יַעֲקֹב מַלְאָכִים לְפָנָיו אֶל עֵשָׂו אָחִיו אַרְצָה שֵׂעִיר שְׂדֵה אֱדוֹם</w:t>
      </w:r>
      <w:r>
        <w:rPr>
          <w:rFonts w:hint="cs"/>
          <w:color w:val="000000"/>
          <w:rtl/>
        </w:rPr>
        <w:t xml:space="preserve">" </w:t>
      </w:r>
      <w:r>
        <w:rPr>
          <w:rFonts w:cs="David" w:hint="cs"/>
          <w:color w:val="000000"/>
          <w:rtl/>
        </w:rPr>
        <w:t xml:space="preserve">המלאכים חוזרים ומדווחים לו </w:t>
      </w:r>
      <w:r w:rsidRPr="00D302F1">
        <w:rPr>
          <w:color w:val="000000"/>
          <w:rtl/>
        </w:rPr>
        <w:t xml:space="preserve"> </w:t>
      </w:r>
      <w:r>
        <w:rPr>
          <w:rFonts w:hint="cs"/>
          <w:color w:val="000000"/>
          <w:rtl/>
        </w:rPr>
        <w:t>"</w:t>
      </w:r>
      <w:r w:rsidRPr="00D302F1">
        <w:rPr>
          <w:color w:val="000000"/>
          <w:rtl/>
        </w:rPr>
        <w:t xml:space="preserve">(ז) וַיָּשֻׁבוּ הַמַּלְאָכִים אֶל יַעֲקֹב </w:t>
      </w:r>
      <w:proofErr w:type="spellStart"/>
      <w:r w:rsidRPr="00D302F1">
        <w:rPr>
          <w:color w:val="000000"/>
          <w:rtl/>
        </w:rPr>
        <w:t>לֵאמֹר</w:t>
      </w:r>
      <w:proofErr w:type="spellEnd"/>
      <w:r w:rsidRPr="00D302F1">
        <w:rPr>
          <w:color w:val="000000"/>
          <w:rtl/>
        </w:rPr>
        <w:t xml:space="preserve"> בָּאנוּ אֶל אָחִיךָ אֶל עֵשָׂו וְגַם הֹלֵךְ לִקְרָאתְךָ וְאַרְבַּע מֵאוֹת אִישׁ עִמּוֹ: (ח) וַיִּירָא יַעֲקֹב מְאֹד וַיֵּצֶר לוֹ </w:t>
      </w:r>
      <w:proofErr w:type="spellStart"/>
      <w:r w:rsidRPr="00D302F1">
        <w:rPr>
          <w:color w:val="000000"/>
          <w:rtl/>
        </w:rPr>
        <w:t>וַיַּחַץ</w:t>
      </w:r>
      <w:proofErr w:type="spellEnd"/>
      <w:r w:rsidRPr="00D302F1">
        <w:rPr>
          <w:color w:val="000000"/>
          <w:rtl/>
        </w:rPr>
        <w:t xml:space="preserve"> אֶת הָעָם אֲשֶׁר אִתּוֹ וְאֶת הַצֹּאן וְאֶת הַבָּקָר וְהַגְּמַלִּים לִשְׁנֵי מַחֲנוֹת: (ט) וַיֹּאמֶר אִם יָבוֹא עֵשָׂו אֶל הַמַּחֲנֶה הָאַחַת וְהִכָּהוּ וְהָיָה הַמַּחֲנֶה הַנִּשְׁאָר לִפְלֵיטָה</w:t>
      </w:r>
      <w:r>
        <w:rPr>
          <w:rFonts w:hint="cs"/>
          <w:color w:val="000000"/>
          <w:rtl/>
        </w:rPr>
        <w:t>".</w:t>
      </w:r>
      <w:r>
        <w:rPr>
          <w:rFonts w:cs="David" w:hint="cs"/>
          <w:color w:val="000000"/>
          <w:rtl/>
        </w:rPr>
        <w:t xml:space="preserve"> מסביר רש"י במקום </w:t>
      </w:r>
      <w:r>
        <w:rPr>
          <w:rFonts w:hint="cs"/>
          <w:color w:val="000000"/>
          <w:rtl/>
        </w:rPr>
        <w:t>"</w:t>
      </w:r>
      <w:r w:rsidRPr="00D302F1">
        <w:rPr>
          <w:color w:val="000000"/>
          <w:rtl/>
        </w:rPr>
        <w:t xml:space="preserve">ויירא ויצר - ויירא שמא </w:t>
      </w:r>
      <w:proofErr w:type="spellStart"/>
      <w:r w:rsidRPr="00D302F1">
        <w:rPr>
          <w:color w:val="000000"/>
          <w:rtl/>
        </w:rPr>
        <w:t>יהרג</w:t>
      </w:r>
      <w:proofErr w:type="spellEnd"/>
      <w:r w:rsidRPr="00D302F1">
        <w:rPr>
          <w:color w:val="000000"/>
          <w:rtl/>
        </w:rPr>
        <w:t>, ויצר לו אם יהרוג הוא את אחרים</w:t>
      </w:r>
      <w:r>
        <w:rPr>
          <w:rFonts w:hint="cs"/>
          <w:color w:val="000000"/>
          <w:rtl/>
        </w:rPr>
        <w:t xml:space="preserve">". </w:t>
      </w:r>
      <w:r>
        <w:rPr>
          <w:rFonts w:cs="David" w:hint="cs"/>
          <w:color w:val="000000"/>
          <w:rtl/>
        </w:rPr>
        <w:t>עולה כאן כמובן השאלה מדוע יעקב ירא? הרי הוא זכה להבטחה אלוקית עם צאתו לדרך בתחילת פר' ויצא</w:t>
      </w:r>
      <w:r>
        <w:rPr>
          <w:rFonts w:hint="cs"/>
          <w:color w:val="000000"/>
          <w:rtl/>
        </w:rPr>
        <w:t xml:space="preserve"> </w:t>
      </w:r>
      <w:r w:rsidRPr="00D302F1">
        <w:rPr>
          <w:rFonts w:cs="David" w:hint="cs"/>
          <w:color w:val="000000"/>
          <w:sz w:val="20"/>
          <w:szCs w:val="20"/>
          <w:rtl/>
        </w:rPr>
        <w:t>(</w:t>
      </w:r>
      <w:proofErr w:type="spellStart"/>
      <w:r w:rsidRPr="00D302F1">
        <w:rPr>
          <w:rFonts w:cs="David" w:hint="eastAsia"/>
          <w:color w:val="000000"/>
          <w:sz w:val="20"/>
          <w:szCs w:val="20"/>
          <w:rtl/>
        </w:rPr>
        <w:t>כח</w:t>
      </w:r>
      <w:proofErr w:type="spellEnd"/>
      <w:r w:rsidRPr="00D302F1">
        <w:rPr>
          <w:rFonts w:cs="David" w:hint="cs"/>
          <w:color w:val="000000"/>
          <w:sz w:val="20"/>
          <w:szCs w:val="20"/>
          <w:rtl/>
        </w:rPr>
        <w:t>',</w:t>
      </w:r>
      <w:r w:rsidRPr="00D302F1">
        <w:rPr>
          <w:rFonts w:cs="David" w:hint="eastAsia"/>
          <w:color w:val="000000"/>
          <w:sz w:val="20"/>
          <w:szCs w:val="20"/>
          <w:rtl/>
        </w:rPr>
        <w:t>טו</w:t>
      </w:r>
      <w:r w:rsidRPr="00D302F1">
        <w:rPr>
          <w:rFonts w:cs="David"/>
          <w:color w:val="000000"/>
          <w:sz w:val="20"/>
          <w:szCs w:val="20"/>
          <w:rtl/>
        </w:rPr>
        <w:t>)</w:t>
      </w:r>
      <w:r w:rsidRPr="00D302F1">
        <w:rPr>
          <w:color w:val="000000"/>
          <w:rtl/>
        </w:rPr>
        <w:t xml:space="preserve"> </w:t>
      </w:r>
      <w:r>
        <w:rPr>
          <w:rFonts w:hint="cs"/>
          <w:color w:val="000000"/>
          <w:rtl/>
        </w:rPr>
        <w:t>"</w:t>
      </w:r>
      <w:r w:rsidRPr="00D302F1">
        <w:rPr>
          <w:rFonts w:hint="eastAsia"/>
          <w:color w:val="000000"/>
          <w:rtl/>
        </w:rPr>
        <w:t>וְהִנֵּה</w:t>
      </w:r>
      <w:r w:rsidRPr="00D302F1">
        <w:rPr>
          <w:color w:val="000000"/>
          <w:rtl/>
        </w:rPr>
        <w:t xml:space="preserve"> </w:t>
      </w:r>
      <w:r w:rsidRPr="00D302F1">
        <w:rPr>
          <w:rFonts w:hint="eastAsia"/>
          <w:color w:val="000000"/>
          <w:rtl/>
        </w:rPr>
        <w:t>אָנֹכִי</w:t>
      </w:r>
      <w:r w:rsidRPr="00D302F1">
        <w:rPr>
          <w:color w:val="000000"/>
          <w:rtl/>
        </w:rPr>
        <w:t xml:space="preserve"> </w:t>
      </w:r>
      <w:r w:rsidRPr="00D302F1">
        <w:rPr>
          <w:rFonts w:hint="eastAsia"/>
          <w:color w:val="000000"/>
          <w:rtl/>
        </w:rPr>
        <w:t>עִמָּךְ</w:t>
      </w:r>
      <w:r w:rsidRPr="00D302F1">
        <w:rPr>
          <w:color w:val="000000"/>
          <w:rtl/>
        </w:rPr>
        <w:t xml:space="preserve"> </w:t>
      </w:r>
      <w:proofErr w:type="spellStart"/>
      <w:r w:rsidRPr="00D302F1">
        <w:rPr>
          <w:rFonts w:hint="eastAsia"/>
          <w:color w:val="000000"/>
          <w:rtl/>
        </w:rPr>
        <w:t>וּשְׁמַרְתִּיך</w:t>
      </w:r>
      <w:proofErr w:type="spellEnd"/>
      <w:r w:rsidRPr="00D302F1">
        <w:rPr>
          <w:rFonts w:hint="eastAsia"/>
          <w:color w:val="000000"/>
          <w:rtl/>
        </w:rPr>
        <w:t>ָ</w:t>
      </w:r>
      <w:r w:rsidRPr="00D302F1">
        <w:rPr>
          <w:color w:val="000000"/>
          <w:rtl/>
        </w:rPr>
        <w:t xml:space="preserve"> </w:t>
      </w:r>
      <w:r w:rsidRPr="00D302F1">
        <w:rPr>
          <w:rFonts w:hint="eastAsia"/>
          <w:color w:val="000000"/>
          <w:rtl/>
        </w:rPr>
        <w:t>בְּכֹל</w:t>
      </w:r>
      <w:r w:rsidRPr="00D302F1">
        <w:rPr>
          <w:color w:val="000000"/>
          <w:rtl/>
        </w:rPr>
        <w:t xml:space="preserve"> </w:t>
      </w:r>
      <w:r w:rsidRPr="00D302F1">
        <w:rPr>
          <w:rFonts w:hint="eastAsia"/>
          <w:color w:val="000000"/>
          <w:rtl/>
        </w:rPr>
        <w:t>אֲשֶׁר</w:t>
      </w:r>
      <w:r w:rsidRPr="00D302F1">
        <w:rPr>
          <w:color w:val="000000"/>
          <w:rtl/>
        </w:rPr>
        <w:t xml:space="preserve"> </w:t>
      </w:r>
      <w:r w:rsidRPr="00D302F1">
        <w:rPr>
          <w:rFonts w:hint="eastAsia"/>
          <w:color w:val="000000"/>
          <w:rtl/>
        </w:rPr>
        <w:t>תֵּלֵךְ</w:t>
      </w:r>
      <w:r w:rsidRPr="00D302F1">
        <w:rPr>
          <w:color w:val="000000"/>
          <w:rtl/>
        </w:rPr>
        <w:t xml:space="preserve"> </w:t>
      </w:r>
      <w:r w:rsidRPr="00D302F1">
        <w:rPr>
          <w:rFonts w:hint="eastAsia"/>
          <w:color w:val="000000"/>
          <w:rtl/>
        </w:rPr>
        <w:t>וַהֲשִׁבֹתִיךָ</w:t>
      </w:r>
      <w:r w:rsidRPr="00D302F1">
        <w:rPr>
          <w:color w:val="000000"/>
          <w:rtl/>
        </w:rPr>
        <w:t xml:space="preserve"> </w:t>
      </w:r>
      <w:r w:rsidRPr="00D302F1">
        <w:rPr>
          <w:rFonts w:hint="eastAsia"/>
          <w:color w:val="000000"/>
          <w:rtl/>
        </w:rPr>
        <w:t>אֶל</w:t>
      </w:r>
      <w:r w:rsidRPr="00D302F1">
        <w:rPr>
          <w:color w:val="000000"/>
          <w:rtl/>
        </w:rPr>
        <w:t xml:space="preserve"> </w:t>
      </w:r>
      <w:r w:rsidRPr="00D302F1">
        <w:rPr>
          <w:rFonts w:hint="eastAsia"/>
          <w:color w:val="000000"/>
          <w:rtl/>
        </w:rPr>
        <w:t>הָאֲדָמָה</w:t>
      </w:r>
      <w:r w:rsidRPr="00D302F1">
        <w:rPr>
          <w:color w:val="000000"/>
          <w:rtl/>
        </w:rPr>
        <w:t xml:space="preserve"> </w:t>
      </w:r>
      <w:r w:rsidRPr="00D302F1">
        <w:rPr>
          <w:rFonts w:hint="eastAsia"/>
          <w:color w:val="000000"/>
          <w:rtl/>
        </w:rPr>
        <w:t>הַזֹּאת</w:t>
      </w:r>
      <w:r w:rsidRPr="00D302F1">
        <w:rPr>
          <w:color w:val="000000"/>
          <w:rtl/>
        </w:rPr>
        <w:t xml:space="preserve"> </w:t>
      </w:r>
      <w:r w:rsidRPr="00D302F1">
        <w:rPr>
          <w:rFonts w:hint="eastAsia"/>
          <w:color w:val="000000"/>
          <w:rtl/>
        </w:rPr>
        <w:t>כִּי</w:t>
      </w:r>
      <w:r w:rsidRPr="00D302F1">
        <w:rPr>
          <w:color w:val="000000"/>
          <w:rtl/>
        </w:rPr>
        <w:t xml:space="preserve"> </w:t>
      </w:r>
      <w:r w:rsidRPr="00D302F1">
        <w:rPr>
          <w:rFonts w:hint="eastAsia"/>
          <w:color w:val="000000"/>
          <w:rtl/>
        </w:rPr>
        <w:t>לֹא</w:t>
      </w:r>
      <w:r w:rsidRPr="00D302F1">
        <w:rPr>
          <w:color w:val="000000"/>
          <w:rtl/>
        </w:rPr>
        <w:t xml:space="preserve"> </w:t>
      </w:r>
      <w:r w:rsidRPr="00D302F1">
        <w:rPr>
          <w:rFonts w:hint="eastAsia"/>
          <w:color w:val="000000"/>
          <w:rtl/>
        </w:rPr>
        <w:t>אֶעֱזָבְךָ</w:t>
      </w:r>
      <w:r w:rsidRPr="00D302F1">
        <w:rPr>
          <w:color w:val="000000"/>
          <w:rtl/>
        </w:rPr>
        <w:t xml:space="preserve"> </w:t>
      </w:r>
      <w:r w:rsidRPr="00D302F1">
        <w:rPr>
          <w:rFonts w:hint="eastAsia"/>
          <w:color w:val="000000"/>
          <w:rtl/>
        </w:rPr>
        <w:t>עַד</w:t>
      </w:r>
      <w:r w:rsidRPr="00D302F1">
        <w:rPr>
          <w:color w:val="000000"/>
          <w:rtl/>
        </w:rPr>
        <w:t xml:space="preserve"> </w:t>
      </w:r>
      <w:r w:rsidRPr="00D302F1">
        <w:rPr>
          <w:rFonts w:hint="eastAsia"/>
          <w:color w:val="000000"/>
          <w:rtl/>
        </w:rPr>
        <w:t>אֲשֶׁר</w:t>
      </w:r>
      <w:r w:rsidRPr="00D302F1">
        <w:rPr>
          <w:color w:val="000000"/>
          <w:rtl/>
        </w:rPr>
        <w:t xml:space="preserve"> </w:t>
      </w:r>
      <w:r w:rsidRPr="00D302F1">
        <w:rPr>
          <w:rFonts w:hint="eastAsia"/>
          <w:color w:val="000000"/>
          <w:rtl/>
        </w:rPr>
        <w:t>אִם</w:t>
      </w:r>
      <w:r w:rsidRPr="00D302F1">
        <w:rPr>
          <w:color w:val="000000"/>
          <w:rtl/>
        </w:rPr>
        <w:t xml:space="preserve"> </w:t>
      </w:r>
      <w:r w:rsidRPr="00D302F1">
        <w:rPr>
          <w:rFonts w:hint="eastAsia"/>
          <w:color w:val="000000"/>
          <w:rtl/>
        </w:rPr>
        <w:t>עָשִׂיתִי</w:t>
      </w:r>
      <w:r w:rsidRPr="00D302F1">
        <w:rPr>
          <w:color w:val="000000"/>
          <w:rtl/>
        </w:rPr>
        <w:t xml:space="preserve"> </w:t>
      </w:r>
      <w:r w:rsidRPr="00D302F1">
        <w:rPr>
          <w:rFonts w:hint="eastAsia"/>
          <w:color w:val="000000"/>
          <w:rtl/>
        </w:rPr>
        <w:t>אֵת</w:t>
      </w:r>
      <w:r w:rsidRPr="00D302F1">
        <w:rPr>
          <w:color w:val="000000"/>
          <w:rtl/>
        </w:rPr>
        <w:t xml:space="preserve"> </w:t>
      </w:r>
      <w:r w:rsidRPr="00D302F1">
        <w:rPr>
          <w:rFonts w:hint="eastAsia"/>
          <w:color w:val="000000"/>
          <w:rtl/>
        </w:rPr>
        <w:t>אֲשֶׁר</w:t>
      </w:r>
      <w:r w:rsidRPr="00D302F1">
        <w:rPr>
          <w:color w:val="000000"/>
          <w:rtl/>
        </w:rPr>
        <w:t xml:space="preserve"> </w:t>
      </w:r>
      <w:r w:rsidRPr="00D302F1">
        <w:rPr>
          <w:rFonts w:hint="eastAsia"/>
          <w:color w:val="000000"/>
          <w:rtl/>
        </w:rPr>
        <w:t>דִּבַּרְתִּי</w:t>
      </w:r>
      <w:r w:rsidRPr="00D302F1">
        <w:rPr>
          <w:color w:val="000000"/>
          <w:rtl/>
        </w:rPr>
        <w:t xml:space="preserve"> </w:t>
      </w:r>
      <w:r w:rsidRPr="00D302F1">
        <w:rPr>
          <w:rFonts w:hint="eastAsia"/>
          <w:color w:val="000000"/>
          <w:rtl/>
        </w:rPr>
        <w:t>לָךְ</w:t>
      </w:r>
      <w:r>
        <w:rPr>
          <w:rFonts w:hint="cs"/>
          <w:color w:val="000000"/>
          <w:rtl/>
        </w:rPr>
        <w:t>".</w:t>
      </w:r>
      <w:r>
        <w:rPr>
          <w:rFonts w:cs="David" w:hint="cs"/>
          <w:color w:val="000000"/>
          <w:rtl/>
        </w:rPr>
        <w:t xml:space="preserve"> אחר הבטחה כזו מדוע יעקב אבינו חושש בכלל, איך יתכן שאם ה' הבטיח לסייעו הוא ח"ו יפגע או יפגע באחרים?</w:t>
      </w:r>
    </w:p>
    <w:p w:rsidR="00FE794B" w:rsidRDefault="00FE794B" w:rsidP="00FE794B">
      <w:pPr>
        <w:spacing w:line="360" w:lineRule="auto"/>
        <w:rPr>
          <w:rFonts w:cs="David" w:hint="cs"/>
          <w:rtl/>
        </w:rPr>
      </w:pPr>
      <w:r w:rsidRPr="00566060">
        <w:rPr>
          <w:rFonts w:cs="David" w:hint="cs"/>
          <w:color w:val="000000"/>
          <w:rtl/>
        </w:rPr>
        <w:t>עונה על כך  הגמרא</w:t>
      </w:r>
      <w:r>
        <w:rPr>
          <w:rFonts w:cs="David" w:hint="cs"/>
          <w:color w:val="000000"/>
          <w:rtl/>
        </w:rPr>
        <w:t xml:space="preserve"> </w:t>
      </w:r>
      <w:r w:rsidRPr="00D302F1">
        <w:rPr>
          <w:rFonts w:hint="cs"/>
          <w:color w:val="000000"/>
          <w:rtl/>
        </w:rPr>
        <w:t>ב</w:t>
      </w:r>
      <w:r w:rsidRPr="00D302F1">
        <w:rPr>
          <w:color w:val="000000"/>
          <w:rtl/>
        </w:rPr>
        <w:t xml:space="preserve">מסכת ברכות </w:t>
      </w:r>
      <w:r w:rsidRPr="00D302F1">
        <w:rPr>
          <w:rFonts w:hint="cs"/>
          <w:color w:val="000000"/>
          <w:rtl/>
        </w:rPr>
        <w:t>(</w:t>
      </w:r>
      <w:r w:rsidRPr="00D302F1">
        <w:rPr>
          <w:color w:val="000000"/>
          <w:rtl/>
        </w:rPr>
        <w:t>ד</w:t>
      </w:r>
      <w:r w:rsidRPr="00D302F1">
        <w:rPr>
          <w:rFonts w:hint="cs"/>
          <w:color w:val="000000"/>
          <w:rtl/>
        </w:rPr>
        <w:t>'/</w:t>
      </w:r>
      <w:r w:rsidRPr="00D302F1">
        <w:rPr>
          <w:color w:val="000000"/>
          <w:rtl/>
        </w:rPr>
        <w:t xml:space="preserve"> א</w:t>
      </w:r>
      <w:r w:rsidRPr="00D302F1">
        <w:rPr>
          <w:rFonts w:hint="cs"/>
          <w:color w:val="000000"/>
          <w:rtl/>
        </w:rPr>
        <w:t>')</w:t>
      </w:r>
      <w:r>
        <w:rPr>
          <w:rFonts w:hint="cs"/>
          <w:color w:val="000000"/>
          <w:rtl/>
        </w:rPr>
        <w:t xml:space="preserve"> "</w:t>
      </w:r>
      <w:r w:rsidRPr="00D302F1">
        <w:rPr>
          <w:color w:val="000000"/>
          <w:rtl/>
        </w:rPr>
        <w:t xml:space="preserve">רבי יעקב בר </w:t>
      </w:r>
      <w:proofErr w:type="spellStart"/>
      <w:r w:rsidRPr="00D302F1">
        <w:rPr>
          <w:color w:val="000000"/>
          <w:rtl/>
        </w:rPr>
        <w:t>אידי</w:t>
      </w:r>
      <w:proofErr w:type="spellEnd"/>
      <w:r w:rsidRPr="00D302F1">
        <w:rPr>
          <w:color w:val="000000"/>
          <w:rtl/>
        </w:rPr>
        <w:t xml:space="preserve"> רמי</w:t>
      </w:r>
      <w:r>
        <w:rPr>
          <w:rFonts w:hint="cs"/>
          <w:color w:val="000000"/>
          <w:rtl/>
        </w:rPr>
        <w:t xml:space="preserve"> (</w:t>
      </w:r>
      <w:r w:rsidRPr="00566060">
        <w:rPr>
          <w:rFonts w:cs="David" w:hint="cs"/>
          <w:color w:val="000000"/>
          <w:rtl/>
        </w:rPr>
        <w:t>הקשה</w:t>
      </w:r>
      <w:r>
        <w:rPr>
          <w:rFonts w:cs="David" w:hint="cs"/>
          <w:color w:val="000000"/>
          <w:rtl/>
        </w:rPr>
        <w:t>)</w:t>
      </w:r>
      <w:r w:rsidRPr="00D302F1">
        <w:rPr>
          <w:color w:val="000000"/>
          <w:rtl/>
        </w:rPr>
        <w:t xml:space="preserve">, כתיב: </w:t>
      </w:r>
      <w:r>
        <w:rPr>
          <w:rFonts w:hint="cs"/>
          <w:color w:val="000000"/>
          <w:rtl/>
        </w:rPr>
        <w:t>(</w:t>
      </w:r>
      <w:r w:rsidRPr="00566060">
        <w:rPr>
          <w:color w:val="000000"/>
          <w:sz w:val="20"/>
          <w:szCs w:val="20"/>
          <w:rtl/>
        </w:rPr>
        <w:t>בראשית כ"ח</w:t>
      </w:r>
      <w:r>
        <w:rPr>
          <w:rFonts w:hint="cs"/>
          <w:color w:val="000000"/>
          <w:rtl/>
        </w:rPr>
        <w:t>)</w:t>
      </w:r>
      <w:r w:rsidRPr="00D302F1">
        <w:rPr>
          <w:color w:val="000000"/>
          <w:rtl/>
        </w:rPr>
        <w:t xml:space="preserve"> והנה אנכי עמך </w:t>
      </w:r>
      <w:proofErr w:type="spellStart"/>
      <w:r w:rsidRPr="00D302F1">
        <w:rPr>
          <w:color w:val="000000"/>
          <w:rtl/>
        </w:rPr>
        <w:t>ושמרתיך</w:t>
      </w:r>
      <w:proofErr w:type="spellEnd"/>
      <w:r w:rsidRPr="00D302F1">
        <w:rPr>
          <w:color w:val="000000"/>
          <w:rtl/>
        </w:rPr>
        <w:t xml:space="preserve"> בכל אשר תלך וכתיב: </w:t>
      </w:r>
      <w:r w:rsidRPr="00D302F1">
        <w:rPr>
          <w:rFonts w:hint="cs"/>
          <w:rtl/>
        </w:rPr>
        <w:t>(</w:t>
      </w:r>
      <w:r w:rsidRPr="00566060">
        <w:rPr>
          <w:color w:val="000000"/>
          <w:sz w:val="20"/>
          <w:szCs w:val="20"/>
          <w:rtl/>
        </w:rPr>
        <w:t>בראשית ל"ב</w:t>
      </w:r>
      <w:r>
        <w:rPr>
          <w:rFonts w:hint="cs"/>
          <w:color w:val="000000"/>
          <w:rtl/>
        </w:rPr>
        <w:t xml:space="preserve">) </w:t>
      </w:r>
      <w:r w:rsidRPr="00D302F1">
        <w:rPr>
          <w:color w:val="000000"/>
          <w:rtl/>
        </w:rPr>
        <w:t>ויירא יעקב מאד! אמר: שמא יגרום החטא</w:t>
      </w:r>
      <w:r>
        <w:rPr>
          <w:rFonts w:hint="cs"/>
          <w:color w:val="000000"/>
          <w:rtl/>
        </w:rPr>
        <w:t>".</w:t>
      </w:r>
      <w:r>
        <w:rPr>
          <w:rFonts w:cs="David" w:hint="cs"/>
          <w:color w:val="000000"/>
          <w:rtl/>
        </w:rPr>
        <w:t xml:space="preserve"> </w:t>
      </w:r>
      <w:r w:rsidRPr="00566060">
        <w:rPr>
          <w:rFonts w:cs="David" w:hint="cs"/>
          <w:color w:val="000000"/>
          <w:rtl/>
        </w:rPr>
        <w:t xml:space="preserve">תשובתו של רב </w:t>
      </w:r>
      <w:proofErr w:type="spellStart"/>
      <w:r w:rsidRPr="00566060">
        <w:rPr>
          <w:rFonts w:cs="David" w:hint="cs"/>
          <w:color w:val="000000"/>
          <w:rtl/>
        </w:rPr>
        <w:t>אידי</w:t>
      </w:r>
      <w:proofErr w:type="spellEnd"/>
      <w:r w:rsidRPr="00566060">
        <w:rPr>
          <w:rFonts w:cs="David" w:hint="cs"/>
          <w:color w:val="000000"/>
          <w:rtl/>
        </w:rPr>
        <w:t xml:space="preserve"> בר אבין שיעקב חשש שמא עשה חטא ואינו ראוי לשמירה  המובטחת ע"י ה'. ניתן לענות תשובה רחבה יותר על שאלה זו (שאינה סותרת את דברי הגמרא אלא מרחיבה אותם) </w:t>
      </w:r>
      <w:r>
        <w:rPr>
          <w:rFonts w:cs="David" w:hint="cs"/>
          <w:color w:val="000000"/>
          <w:rtl/>
        </w:rPr>
        <w:t xml:space="preserve">שמקורה </w:t>
      </w:r>
      <w:r w:rsidRPr="00566060">
        <w:rPr>
          <w:rFonts w:cs="David" w:hint="cs"/>
          <w:color w:val="000000"/>
          <w:rtl/>
        </w:rPr>
        <w:t xml:space="preserve">בספר שמואל א' (פר' </w:t>
      </w:r>
      <w:proofErr w:type="spellStart"/>
      <w:r w:rsidRPr="00566060">
        <w:rPr>
          <w:rFonts w:cs="David" w:hint="cs"/>
          <w:color w:val="000000"/>
          <w:rtl/>
        </w:rPr>
        <w:t>טז</w:t>
      </w:r>
      <w:proofErr w:type="spellEnd"/>
      <w:r w:rsidRPr="00566060">
        <w:rPr>
          <w:rFonts w:cs="David" w:hint="cs"/>
          <w:color w:val="000000"/>
          <w:rtl/>
        </w:rPr>
        <w:t>')</w:t>
      </w:r>
      <w:r>
        <w:rPr>
          <w:rFonts w:cs="David" w:hint="cs"/>
          <w:color w:val="000000"/>
          <w:rtl/>
        </w:rPr>
        <w:t xml:space="preserve"> </w:t>
      </w:r>
      <w:r>
        <w:rPr>
          <w:rFonts w:hint="cs"/>
          <w:color w:val="000000"/>
          <w:rtl/>
        </w:rPr>
        <w:t>"</w:t>
      </w:r>
      <w:r w:rsidRPr="00566060">
        <w:rPr>
          <w:color w:val="000000"/>
          <w:rtl/>
        </w:rPr>
        <w:t xml:space="preserve">(א) וַיֹּאמֶר ה' אֶל שְׁמוּאֵל עַד מָתַי אַתָּה מִתְאַבֵּל אֶל שָׁאוּל וַאֲנִי </w:t>
      </w:r>
      <w:proofErr w:type="spellStart"/>
      <w:r w:rsidRPr="00566060">
        <w:rPr>
          <w:color w:val="000000"/>
          <w:rtl/>
        </w:rPr>
        <w:t>מְאַסְתִּיו</w:t>
      </w:r>
      <w:proofErr w:type="spellEnd"/>
      <w:r w:rsidRPr="00566060">
        <w:rPr>
          <w:color w:val="000000"/>
          <w:rtl/>
        </w:rPr>
        <w:t xml:space="preserve"> מִמְּלֹךְ עַל יִשְׂרָאֵל מַלֵּא קַרְנְךָ שֶׁמֶן וְלֵךְ אֶשְׁלָחֲךָ אֶל יִשַׁי בֵּית </w:t>
      </w:r>
      <w:proofErr w:type="spellStart"/>
      <w:r w:rsidRPr="00566060">
        <w:rPr>
          <w:color w:val="000000"/>
          <w:rtl/>
        </w:rPr>
        <w:t>הַלַּחְמִי</w:t>
      </w:r>
      <w:proofErr w:type="spellEnd"/>
      <w:r w:rsidRPr="00566060">
        <w:rPr>
          <w:color w:val="000000"/>
          <w:rtl/>
        </w:rPr>
        <w:t xml:space="preserve"> כִּי רָאִיתִי בְּבָנָיו לִי מֶלֶךְ: (ב) וַיֹּאמֶר שְׁמוּאֵל אֵיךְ אֵלֵךְ וְשָׁמַע שָׁאוּל וַהֲרָגָנִי וַיֹּאמֶר ה' עֶגְלַת בָּקָר </w:t>
      </w:r>
      <w:proofErr w:type="spellStart"/>
      <w:r w:rsidRPr="00566060">
        <w:rPr>
          <w:color w:val="000000"/>
          <w:rtl/>
        </w:rPr>
        <w:t>תִּקַּח</w:t>
      </w:r>
      <w:proofErr w:type="spellEnd"/>
      <w:r w:rsidRPr="00566060">
        <w:rPr>
          <w:color w:val="000000"/>
          <w:rtl/>
        </w:rPr>
        <w:t xml:space="preserve"> בְּיָדֶךָ וְאָמַרְתָּ לִזְבֹּחַ לַה' בָּאתִי: (ג) וְקָרָאתָ לְיִשַׁי בַּזָּבַח וְאָנֹכִי אוֹדִיעֲךָ אֵת אֲשֶׁר תַּעֲשֶׂה וּמָשַׁחְתָּ לִי אֵת אֲשֶׁר אֹמַר אֵלֶיךָ</w:t>
      </w:r>
      <w:r>
        <w:rPr>
          <w:rFonts w:hint="cs"/>
          <w:color w:val="000000"/>
          <w:rtl/>
        </w:rPr>
        <w:t>"</w:t>
      </w:r>
      <w:r w:rsidRPr="00566060">
        <w:rPr>
          <w:rFonts w:cs="David"/>
          <w:rtl/>
        </w:rPr>
        <w:t xml:space="preserve"> פסוקים אלו מעוררים מספר קשיים. מה טיב חששו של שמואל "וְשָׁמַע שָׁאוּל וַהֲרָגָנִי"? והלוא שמואל נצטווה מפי הגבורה</w:t>
      </w:r>
      <w:r w:rsidRPr="00566060">
        <w:rPr>
          <w:rFonts w:cs="David" w:hint="cs"/>
          <w:rtl/>
        </w:rPr>
        <w:t>, האם אינו סומך עליו</w:t>
      </w:r>
      <w:r w:rsidRPr="00566060">
        <w:rPr>
          <w:rFonts w:cs="David"/>
          <w:rtl/>
        </w:rPr>
        <w:t>!</w:t>
      </w:r>
      <w:r>
        <w:rPr>
          <w:rFonts w:cs="David" w:hint="cs"/>
          <w:rtl/>
        </w:rPr>
        <w:t xml:space="preserve"> </w:t>
      </w:r>
      <w:r w:rsidRPr="00566060">
        <w:rPr>
          <w:rFonts w:cs="David" w:hint="cs"/>
          <w:rtl/>
        </w:rPr>
        <w:t>האם לא נראה כי יש כאן פגם באמונתו של שמואל הנביא בה'</w:t>
      </w:r>
      <w:r>
        <w:rPr>
          <w:rFonts w:cs="David" w:hint="cs"/>
          <w:rtl/>
        </w:rPr>
        <w:t>? אך</w:t>
      </w:r>
      <w:r w:rsidRPr="00566060">
        <w:rPr>
          <w:rFonts w:cs="David"/>
          <w:rtl/>
        </w:rPr>
        <w:t xml:space="preserve"> לא רק שהקב"ה אינו </w:t>
      </w:r>
      <w:proofErr w:type="spellStart"/>
      <w:r w:rsidRPr="00566060">
        <w:rPr>
          <w:rFonts w:cs="David"/>
          <w:rtl/>
        </w:rPr>
        <w:t>מוכיחו</w:t>
      </w:r>
      <w:proofErr w:type="spellEnd"/>
      <w:r w:rsidRPr="00566060">
        <w:rPr>
          <w:rFonts w:cs="David"/>
          <w:rtl/>
        </w:rPr>
        <w:t xml:space="preserve"> על דבריו – הוא אף ממשיך באותו קו ומציע פתרון בנוסח "עֶגְלַת בָּקָר </w:t>
      </w:r>
      <w:proofErr w:type="spellStart"/>
      <w:r w:rsidRPr="00566060">
        <w:rPr>
          <w:rFonts w:cs="David"/>
          <w:rtl/>
        </w:rPr>
        <w:t>תִּקַּח</w:t>
      </w:r>
      <w:proofErr w:type="spellEnd"/>
      <w:r w:rsidRPr="00566060">
        <w:rPr>
          <w:rFonts w:cs="David"/>
          <w:rtl/>
        </w:rPr>
        <w:t xml:space="preserve"> בְּיָדֶך"!</w:t>
      </w:r>
      <w:r>
        <w:rPr>
          <w:rFonts w:cs="David" w:hint="cs"/>
          <w:rtl/>
        </w:rPr>
        <w:t xml:space="preserve"> </w:t>
      </w:r>
    </w:p>
    <w:p w:rsidR="00FE794B" w:rsidRDefault="00FE794B" w:rsidP="00FE794B">
      <w:pPr>
        <w:spacing w:line="360" w:lineRule="auto"/>
        <w:ind w:firstLine="418"/>
        <w:rPr>
          <w:rFonts w:hint="cs"/>
          <w:rtl/>
        </w:rPr>
      </w:pPr>
      <w:r w:rsidRPr="00566060">
        <w:rPr>
          <w:rFonts w:cs="David" w:hint="cs"/>
          <w:rtl/>
        </w:rPr>
        <w:t xml:space="preserve">הגמרא </w:t>
      </w:r>
      <w:r w:rsidRPr="00566060">
        <w:rPr>
          <w:rFonts w:cs="David"/>
          <w:rtl/>
        </w:rPr>
        <w:t xml:space="preserve"> </w:t>
      </w:r>
      <w:r w:rsidRPr="00566060">
        <w:rPr>
          <w:rFonts w:cs="David" w:hint="cs"/>
          <w:rtl/>
        </w:rPr>
        <w:t>לומדת מדיון זה ב</w:t>
      </w:r>
      <w:r w:rsidRPr="00566060">
        <w:rPr>
          <w:rFonts w:cs="David"/>
          <w:rtl/>
        </w:rPr>
        <w:t>מסכת פסחים</w:t>
      </w:r>
      <w:r w:rsidRPr="00566060">
        <w:rPr>
          <w:rtl/>
        </w:rPr>
        <w:t xml:space="preserve"> </w:t>
      </w:r>
      <w:r>
        <w:rPr>
          <w:rFonts w:hint="cs"/>
          <w:rtl/>
        </w:rPr>
        <w:t>(</w:t>
      </w:r>
      <w:r w:rsidRPr="00566060">
        <w:rPr>
          <w:rtl/>
        </w:rPr>
        <w:t>ח</w:t>
      </w:r>
      <w:r w:rsidRPr="00566060">
        <w:rPr>
          <w:rFonts w:hint="cs"/>
          <w:rtl/>
        </w:rPr>
        <w:t>'/</w:t>
      </w:r>
      <w:r w:rsidRPr="00566060">
        <w:rPr>
          <w:rtl/>
        </w:rPr>
        <w:t xml:space="preserve"> ב</w:t>
      </w:r>
      <w:r w:rsidRPr="00566060">
        <w:rPr>
          <w:rFonts w:hint="cs"/>
          <w:rtl/>
        </w:rPr>
        <w:t>'</w:t>
      </w:r>
      <w:r>
        <w:rPr>
          <w:rFonts w:hint="cs"/>
          <w:rtl/>
        </w:rPr>
        <w:t>) "</w:t>
      </w:r>
      <w:r w:rsidRPr="00D302F1">
        <w:rPr>
          <w:rtl/>
        </w:rPr>
        <w:t xml:space="preserve"> והאמר רבי אלעזר: שלוחי מצוה אינן </w:t>
      </w:r>
      <w:proofErr w:type="spellStart"/>
      <w:r w:rsidRPr="00D302F1">
        <w:rPr>
          <w:rtl/>
        </w:rPr>
        <w:t>ניזוקין</w:t>
      </w:r>
      <w:proofErr w:type="spellEnd"/>
      <w:r w:rsidRPr="00D302F1">
        <w:rPr>
          <w:rtl/>
        </w:rPr>
        <w:t xml:space="preserve">! - </w:t>
      </w:r>
      <w:proofErr w:type="spellStart"/>
      <w:r w:rsidRPr="00D302F1">
        <w:rPr>
          <w:rtl/>
        </w:rPr>
        <w:t>היכא</w:t>
      </w:r>
      <w:proofErr w:type="spellEnd"/>
      <w:r w:rsidRPr="00D302F1">
        <w:rPr>
          <w:rtl/>
        </w:rPr>
        <w:t xml:space="preserve"> </w:t>
      </w:r>
      <w:proofErr w:type="spellStart"/>
      <w:r w:rsidRPr="00D302F1">
        <w:rPr>
          <w:rtl/>
        </w:rPr>
        <w:t>דשכיח</w:t>
      </w:r>
      <w:proofErr w:type="spellEnd"/>
      <w:r w:rsidRPr="00D302F1">
        <w:rPr>
          <w:rtl/>
        </w:rPr>
        <w:t xml:space="preserve"> </w:t>
      </w:r>
      <w:proofErr w:type="spellStart"/>
      <w:r w:rsidRPr="00D302F1">
        <w:rPr>
          <w:rtl/>
        </w:rPr>
        <w:t>היזיקא</w:t>
      </w:r>
      <w:proofErr w:type="spellEnd"/>
      <w:r w:rsidRPr="00D302F1">
        <w:rPr>
          <w:rtl/>
        </w:rPr>
        <w:t xml:space="preserve"> שאני</w:t>
      </w:r>
      <w:r>
        <w:rPr>
          <w:rFonts w:hint="cs"/>
          <w:rtl/>
        </w:rPr>
        <w:t xml:space="preserve">" </w:t>
      </w:r>
      <w:r w:rsidRPr="00E36732">
        <w:rPr>
          <w:rFonts w:cs="David" w:hint="cs"/>
          <w:rtl/>
        </w:rPr>
        <w:t>הגמרא מבררת האם הכלל של שלוחי מצ</w:t>
      </w:r>
      <w:r>
        <w:rPr>
          <w:rFonts w:cs="David" w:hint="cs"/>
          <w:rtl/>
        </w:rPr>
        <w:t>ו</w:t>
      </w:r>
      <w:r w:rsidRPr="00E36732">
        <w:rPr>
          <w:rFonts w:cs="David" w:hint="cs"/>
          <w:rtl/>
        </w:rPr>
        <w:t>וה אינם ניזוקים פועל תמיד</w:t>
      </w:r>
      <w:r>
        <w:rPr>
          <w:rFonts w:cs="David" w:hint="cs"/>
          <w:rtl/>
        </w:rPr>
        <w:t>?</w:t>
      </w:r>
      <w:r w:rsidRPr="00E36732">
        <w:rPr>
          <w:rFonts w:cs="David" w:hint="cs"/>
          <w:rtl/>
        </w:rPr>
        <w:t xml:space="preserve"> ועונה</w:t>
      </w:r>
      <w:r>
        <w:rPr>
          <w:rFonts w:cs="David" w:hint="cs"/>
          <w:rtl/>
        </w:rPr>
        <w:t xml:space="preserve"> -</w:t>
      </w:r>
      <w:r w:rsidRPr="00E36732">
        <w:rPr>
          <w:rFonts w:cs="David" w:hint="cs"/>
          <w:rtl/>
        </w:rPr>
        <w:t xml:space="preserve"> שהיכן שמצוי היזק בדרך הטבע זה שונה ולא מחייב</w:t>
      </w:r>
      <w:r>
        <w:rPr>
          <w:rFonts w:cs="David" w:hint="cs"/>
          <w:rtl/>
        </w:rPr>
        <w:t xml:space="preserve"> שתהיה שמירה</w:t>
      </w:r>
      <w:r w:rsidRPr="00E36732">
        <w:rPr>
          <w:rFonts w:cs="David"/>
          <w:rtl/>
        </w:rPr>
        <w:t>,</w:t>
      </w:r>
      <w:r w:rsidRPr="00E36732">
        <w:rPr>
          <w:rFonts w:cs="David" w:hint="cs"/>
          <w:rtl/>
        </w:rPr>
        <w:t xml:space="preserve"> הוכחת הגמרא היא </w:t>
      </w:r>
      <w:r w:rsidRPr="00E36732">
        <w:rPr>
          <w:rFonts w:cs="David"/>
          <w:rtl/>
        </w:rPr>
        <w:t xml:space="preserve"> שנאמר</w:t>
      </w:r>
      <w:r w:rsidRPr="00D302F1">
        <w:rPr>
          <w:rtl/>
        </w:rPr>
        <w:t xml:space="preserve"> </w:t>
      </w:r>
      <w:r>
        <w:rPr>
          <w:rFonts w:hint="cs"/>
          <w:rtl/>
        </w:rPr>
        <w:t>(</w:t>
      </w:r>
      <w:r w:rsidRPr="00566060">
        <w:rPr>
          <w:sz w:val="20"/>
          <w:szCs w:val="20"/>
          <w:rtl/>
        </w:rPr>
        <w:t xml:space="preserve">שמואל א, </w:t>
      </w:r>
      <w:proofErr w:type="spellStart"/>
      <w:r w:rsidRPr="00566060">
        <w:rPr>
          <w:sz w:val="20"/>
          <w:szCs w:val="20"/>
          <w:rtl/>
        </w:rPr>
        <w:t>טז</w:t>
      </w:r>
      <w:proofErr w:type="spellEnd"/>
      <w:r>
        <w:rPr>
          <w:rFonts w:hint="cs"/>
          <w:rtl/>
        </w:rPr>
        <w:t>)</w:t>
      </w:r>
      <w:r w:rsidRPr="00D302F1">
        <w:rPr>
          <w:rtl/>
        </w:rPr>
        <w:t xml:space="preserve"> ויאמר שמואל איך אלך ושמע שאול והרגני ויאמר ה' עגלת בקר </w:t>
      </w:r>
      <w:proofErr w:type="spellStart"/>
      <w:r w:rsidRPr="00D302F1">
        <w:rPr>
          <w:rtl/>
        </w:rPr>
        <w:t>תקח</w:t>
      </w:r>
      <w:proofErr w:type="spellEnd"/>
      <w:r w:rsidRPr="00D302F1">
        <w:rPr>
          <w:rtl/>
        </w:rPr>
        <w:t xml:space="preserve"> בידך וגו'. </w:t>
      </w:r>
      <w:r w:rsidRPr="00E36732">
        <w:rPr>
          <w:rFonts w:cs="David" w:hint="cs"/>
          <w:rtl/>
        </w:rPr>
        <w:t>ומ</w:t>
      </w:r>
      <w:r w:rsidRPr="00E36732">
        <w:rPr>
          <w:rFonts w:cs="David"/>
          <w:rtl/>
        </w:rPr>
        <w:t xml:space="preserve">סביר </w:t>
      </w:r>
      <w:proofErr w:type="spellStart"/>
      <w:r w:rsidRPr="00E36732">
        <w:rPr>
          <w:rFonts w:cs="David" w:hint="cs"/>
          <w:rtl/>
        </w:rPr>
        <w:t>ה</w:t>
      </w:r>
      <w:r w:rsidRPr="00E36732">
        <w:rPr>
          <w:rFonts w:cs="David"/>
          <w:rtl/>
        </w:rPr>
        <w:t>רד"ק</w:t>
      </w:r>
      <w:proofErr w:type="spellEnd"/>
      <w:r w:rsidRPr="00E36732">
        <w:rPr>
          <w:rFonts w:cs="David"/>
          <w:rtl/>
        </w:rPr>
        <w:t xml:space="preserve"> בעקבות חז"ל</w:t>
      </w:r>
      <w:r w:rsidRPr="00E36732">
        <w:rPr>
          <w:rFonts w:cs="David" w:hint="cs"/>
          <w:rtl/>
        </w:rPr>
        <w:t xml:space="preserve"> </w:t>
      </w:r>
      <w:r w:rsidRPr="00E36732">
        <w:rPr>
          <w:rFonts w:cs="David" w:hint="cs"/>
          <w:rtl/>
        </w:rPr>
        <w:lastRenderedPageBreak/>
        <w:t>במקום</w:t>
      </w:r>
      <w:r w:rsidRPr="00566060">
        <w:rPr>
          <w:rtl/>
        </w:rPr>
        <w:t>:</w:t>
      </w:r>
      <w:r>
        <w:rPr>
          <w:rFonts w:hint="cs"/>
          <w:rtl/>
        </w:rPr>
        <w:t xml:space="preserve"> "</w:t>
      </w:r>
      <w:r>
        <w:rPr>
          <w:rtl/>
        </w:rPr>
        <w:t xml:space="preserve">מצאנו כי אף על פי שהיה מבטיח הקב"ה הנביא או הצדיק, אף על פי כן הוא נשמר מלכת במקום סכנה, כמו </w:t>
      </w:r>
      <w:r w:rsidRPr="00E36732">
        <w:rPr>
          <w:u w:val="single"/>
          <w:rtl/>
        </w:rPr>
        <w:t>שראינו ביעקב אבינו</w:t>
      </w:r>
      <w:r>
        <w:rPr>
          <w:rtl/>
        </w:rPr>
        <w:t xml:space="preserve">... והטעם, כי אף על פי שהקב"ה עושה ניסים ונפלאות עם </w:t>
      </w:r>
      <w:proofErr w:type="spellStart"/>
      <w:r>
        <w:rPr>
          <w:rtl/>
        </w:rPr>
        <w:t>יראיו</w:t>
      </w:r>
      <w:proofErr w:type="spellEnd"/>
      <w:r>
        <w:rPr>
          <w:rtl/>
        </w:rPr>
        <w:t xml:space="preserve">, ברוב הם על מנהג העולם... וזו </w:t>
      </w:r>
      <w:proofErr w:type="spellStart"/>
      <w:r>
        <w:rPr>
          <w:rtl/>
        </w:rPr>
        <w:t>היתה</w:t>
      </w:r>
      <w:proofErr w:type="spellEnd"/>
      <w:r>
        <w:rPr>
          <w:rtl/>
        </w:rPr>
        <w:t xml:space="preserve"> שאלתו 'איך אלך', ואמר לו הקב"ה: 'עגלת בקר </w:t>
      </w:r>
      <w:proofErr w:type="spellStart"/>
      <w:r>
        <w:rPr>
          <w:rtl/>
        </w:rPr>
        <w:t>תקח</w:t>
      </w:r>
      <w:proofErr w:type="spellEnd"/>
      <w:r>
        <w:rPr>
          <w:rtl/>
        </w:rPr>
        <w:t xml:space="preserve"> בידך'... ולמדו רז"ל </w:t>
      </w:r>
      <w:r w:rsidRPr="007654F9">
        <w:rPr>
          <w:rStyle w:val="a9"/>
          <w:rtl/>
        </w:rPr>
        <w:t>(יבמות סה ע"ב)</w:t>
      </w:r>
      <w:r>
        <w:rPr>
          <w:rtl/>
        </w:rPr>
        <w:t xml:space="preserve"> מזה הפסוק </w:t>
      </w:r>
      <w:proofErr w:type="spellStart"/>
      <w:r>
        <w:rPr>
          <w:rtl/>
        </w:rPr>
        <w:t>שמצוה</w:t>
      </w:r>
      <w:proofErr w:type="spellEnd"/>
      <w:r>
        <w:rPr>
          <w:rtl/>
        </w:rPr>
        <w:t xml:space="preserve"> לשנות בדברי שלום</w:t>
      </w:r>
      <w:r>
        <w:rPr>
          <w:rFonts w:hint="cs"/>
          <w:rtl/>
        </w:rPr>
        <w:t>"</w:t>
      </w:r>
    </w:p>
    <w:p w:rsidR="00FE794B" w:rsidRPr="00E36732" w:rsidRDefault="00FE794B" w:rsidP="00FE794B">
      <w:pPr>
        <w:spacing w:line="360" w:lineRule="auto"/>
        <w:ind w:firstLine="418"/>
        <w:rPr>
          <w:rFonts w:cs="David" w:hint="cs"/>
          <w:rtl/>
        </w:rPr>
      </w:pPr>
      <w:r>
        <w:rPr>
          <w:rFonts w:cs="David" w:hint="cs"/>
          <w:rtl/>
        </w:rPr>
        <w:t>מתגובת יעקב ושמואל, שהיו נביאים וקבלו הבטחה ישירה מה', ולמרות זאת חששו כי כמסקנת חז"ל "</w:t>
      </w:r>
      <w:r>
        <w:rPr>
          <w:rFonts w:cs="David" w:hint="cs"/>
          <w:b/>
          <w:bCs/>
          <w:u w:val="single"/>
          <w:rtl/>
        </w:rPr>
        <w:t>אין סומכים על הנס"</w:t>
      </w:r>
      <w:r>
        <w:rPr>
          <w:rFonts w:cs="David" w:hint="cs"/>
          <w:rtl/>
        </w:rPr>
        <w:t xml:space="preserve"> חשוב מאד שנשליך רעיון זה בחיינו. בכל פעם שאנו עומדים במקום סכנה נפנים ערך זה, לדוגמא, הכביש הוא אחד ממקומות הסכנה העיקריים בחיינו. על כל אחד  החובה </w:t>
      </w:r>
      <w:proofErr w:type="spellStart"/>
      <w:r>
        <w:rPr>
          <w:rFonts w:cs="David" w:hint="cs"/>
          <w:rtl/>
        </w:rPr>
        <w:t>ליסוע</w:t>
      </w:r>
      <w:proofErr w:type="spellEnd"/>
      <w:r>
        <w:rPr>
          <w:rFonts w:cs="David" w:hint="cs"/>
          <w:rtl/>
        </w:rPr>
        <w:t xml:space="preserve"> בצורה כזו שאינה מסכנת אותו (לדג' חגורת בטיחות, לא ל"לגנוב" רמזור אדום ועוד) ולא את האחרים (לדג' לפקוח עיניים כשעוברים ליד מעבר חצייה שמא מישהו ירד לכביש). ולא רק בדרכים אלא בכל מעשינו בחיים, אנו מצווים להשתדל בכל כוחנו לאחוז בכל כללי הבטיחות וה' הטוב בעיניו יעשה.</w:t>
      </w:r>
    </w:p>
    <w:p w:rsidR="00FE794B" w:rsidRPr="00D302F1" w:rsidRDefault="00FE794B" w:rsidP="00FE794B">
      <w:pPr>
        <w:widowControl w:val="0"/>
        <w:autoSpaceDE w:val="0"/>
        <w:autoSpaceDN w:val="0"/>
        <w:adjustRightInd w:val="0"/>
        <w:spacing w:line="360" w:lineRule="auto"/>
        <w:rPr>
          <w:color w:val="000000"/>
          <w:rtl/>
        </w:rPr>
      </w:pP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D76D85"/>
    <w:rsid w:val="00E06017"/>
    <w:rsid w:val="00FD6CC4"/>
    <w:rsid w:val="00FE79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4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character" w:customStyle="1" w:styleId="a9">
    <w:name w:val="מקור"/>
    <w:rsid w:val="00FE794B"/>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4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character" w:customStyle="1" w:styleId="a9">
    <w:name w:val="מקור"/>
    <w:rsid w:val="00FE794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2908</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2019-12-01T06:56:00Z</dcterms:created>
  <dcterms:modified xsi:type="dcterms:W3CDTF">2019-12-01T06:56:00Z</dcterms:modified>
</cp:coreProperties>
</file>