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D05F305" w:rsidR="00E108A1" w:rsidRPr="00E108A1" w:rsidRDefault="00E108A1" w:rsidP="00272220">
      <w:pPr>
        <w:pStyle w:val="1"/>
        <w:jc w:val="left"/>
        <w:rPr>
          <w:sz w:val="24"/>
          <w:szCs w:val="24"/>
          <w:rtl/>
        </w:rPr>
      </w:pPr>
      <w:r>
        <w:rPr>
          <w:rFonts w:hint="cs"/>
          <w:sz w:val="24"/>
          <w:szCs w:val="24"/>
          <w:rtl/>
        </w:rPr>
        <w:t xml:space="preserve">בס"ד, </w:t>
      </w:r>
      <w:r w:rsidR="00272220">
        <w:rPr>
          <w:rFonts w:hint="cs"/>
          <w:sz w:val="24"/>
          <w:szCs w:val="24"/>
          <w:rtl/>
        </w:rPr>
        <w:t xml:space="preserve">אדר </w:t>
      </w:r>
      <w:r>
        <w:rPr>
          <w:rFonts w:hint="cs"/>
          <w:sz w:val="24"/>
          <w:szCs w:val="24"/>
          <w:rtl/>
        </w:rPr>
        <w:t>תשפ"א</w:t>
      </w:r>
    </w:p>
    <w:p w14:paraId="7CF78D39" w14:textId="44CD2301" w:rsidR="00E108A1" w:rsidRPr="00272220" w:rsidRDefault="00E108A1" w:rsidP="00272220">
      <w:pPr>
        <w:pStyle w:val="1"/>
        <w:rPr>
          <w:sz w:val="40"/>
          <w:szCs w:val="40"/>
          <w:rtl/>
        </w:rPr>
      </w:pPr>
      <w:r w:rsidRPr="00272220">
        <w:rPr>
          <w:rFonts w:hint="cs"/>
          <w:sz w:val="40"/>
          <w:szCs w:val="40"/>
          <w:rtl/>
        </w:rPr>
        <w:t xml:space="preserve">דבר תורה לפרשת </w:t>
      </w:r>
      <w:proofErr w:type="spellStart"/>
      <w:r w:rsidR="00272220" w:rsidRPr="00272220">
        <w:rPr>
          <w:rFonts w:hint="cs"/>
          <w:sz w:val="40"/>
          <w:szCs w:val="40"/>
          <w:rtl/>
        </w:rPr>
        <w:t>ויקהל</w:t>
      </w:r>
      <w:proofErr w:type="spellEnd"/>
      <w:r w:rsidR="00272220" w:rsidRPr="00272220">
        <w:rPr>
          <w:rFonts w:hint="cs"/>
          <w:sz w:val="40"/>
          <w:szCs w:val="40"/>
          <w:rtl/>
        </w:rPr>
        <w:t xml:space="preserve"> פקודי שבת החודש </w:t>
      </w:r>
      <w:r w:rsidRPr="00272220">
        <w:rPr>
          <w:sz w:val="40"/>
          <w:szCs w:val="40"/>
          <w:rtl/>
        </w:rPr>
        <w:t>–</w:t>
      </w:r>
      <w:r w:rsidRPr="00272220">
        <w:rPr>
          <w:rFonts w:hint="cs"/>
          <w:sz w:val="40"/>
          <w:szCs w:val="40"/>
          <w:rtl/>
        </w:rPr>
        <w:t xml:space="preserve"> הרב ד"ר </w:t>
      </w:r>
      <w:r w:rsidR="00272220" w:rsidRPr="00272220">
        <w:rPr>
          <w:rFonts w:hint="cs"/>
          <w:sz w:val="40"/>
          <w:szCs w:val="40"/>
          <w:rtl/>
        </w:rPr>
        <w:t>ארי לנדא</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42E52B79" w14:textId="54BE4A1F" w:rsidR="00272220" w:rsidRPr="00272220" w:rsidRDefault="00272220" w:rsidP="00272220">
      <w:pPr>
        <w:widowControl w:val="0"/>
        <w:autoSpaceDE w:val="0"/>
        <w:autoSpaceDN w:val="0"/>
        <w:adjustRightInd w:val="0"/>
        <w:spacing w:after="0" w:line="360" w:lineRule="auto"/>
        <w:jc w:val="center"/>
        <w:rPr>
          <w:rFonts w:ascii="ResponsaTTF" w:hAnsi="Times New Roman" w:cs="David" w:hint="cs"/>
          <w:b/>
          <w:bCs/>
          <w:color w:val="000000"/>
          <w:sz w:val="36"/>
          <w:szCs w:val="36"/>
          <w:rtl/>
        </w:rPr>
      </w:pPr>
      <w:bookmarkStart w:id="0" w:name="_GoBack"/>
      <w:bookmarkEnd w:id="0"/>
      <w:r w:rsidRPr="00272220">
        <w:rPr>
          <w:rFonts w:ascii="ResponsaTTF" w:hAnsi="Times New Roman" w:cs="David" w:hint="cs"/>
          <w:b/>
          <w:bCs/>
          <w:color w:val="000000"/>
          <w:sz w:val="36"/>
          <w:szCs w:val="36"/>
          <w:rtl/>
        </w:rPr>
        <w:t>כנגד ארבעה בנים דברה התורה</w:t>
      </w:r>
    </w:p>
    <w:p w14:paraId="4278D295" w14:textId="441AB969" w:rsidR="00272220" w:rsidRDefault="00272220" w:rsidP="00272220">
      <w:pPr>
        <w:widowControl w:val="0"/>
        <w:autoSpaceDE w:val="0"/>
        <w:autoSpaceDN w:val="0"/>
        <w:adjustRightInd w:val="0"/>
        <w:spacing w:after="0" w:line="360" w:lineRule="auto"/>
        <w:rPr>
          <w:rFonts w:ascii="ResponsaTTF" w:hAnsi="Times New Roman" w:cs="David"/>
          <w:color w:val="000000"/>
          <w:sz w:val="24"/>
          <w:szCs w:val="24"/>
          <w:rtl/>
        </w:rPr>
      </w:pPr>
    </w:p>
    <w:p w14:paraId="6CC196D3" w14:textId="501B4D7F" w:rsidR="00272220" w:rsidRPr="00367E75" w:rsidRDefault="00272220" w:rsidP="00272220">
      <w:pPr>
        <w:widowControl w:val="0"/>
        <w:autoSpaceDE w:val="0"/>
        <w:autoSpaceDN w:val="0"/>
        <w:adjustRightInd w:val="0"/>
        <w:spacing w:after="0" w:line="360" w:lineRule="auto"/>
        <w:rPr>
          <w:rFonts w:ascii="ResponsaTTF" w:hAnsi="Times New Roman" w:cs="David"/>
          <w:color w:val="000000"/>
          <w:sz w:val="24"/>
          <w:szCs w:val="24"/>
          <w:rtl/>
        </w:rPr>
      </w:pPr>
      <w:r>
        <w:rPr>
          <w:rFonts w:ascii="ResponsaTTF" w:hAnsi="Times New Roman" w:cs="David" w:hint="cs"/>
          <w:color w:val="000000"/>
          <w:sz w:val="24"/>
          <w:szCs w:val="24"/>
          <w:rtl/>
        </w:rPr>
        <w:t>השבת היא  השבת הרביעית בארבעת הפרשיות, שבת החודש המהווה הכנה לחג הפסח הממשמש ובא. המפטיר שנקרא השבת עוסק בהוראת מצוות קרבן הפסח במצרים לישראל (</w:t>
      </w:r>
      <w:r w:rsidRPr="00E94B66">
        <w:rPr>
          <w:rFonts w:ascii="ResponsaTTF" w:hAnsi="Times New Roman" w:cs="David" w:hint="eastAsia"/>
          <w:color w:val="000000"/>
          <w:sz w:val="24"/>
          <w:szCs w:val="24"/>
          <w:rtl/>
        </w:rPr>
        <w:t>פרק</w:t>
      </w:r>
      <w:r w:rsidRPr="00E94B66">
        <w:rPr>
          <w:rFonts w:ascii="ResponsaTTF" w:hAnsi="Times New Roman" w:cs="David"/>
          <w:color w:val="000000"/>
          <w:sz w:val="24"/>
          <w:szCs w:val="24"/>
          <w:rtl/>
        </w:rPr>
        <w:t xml:space="preserve"> </w:t>
      </w:r>
      <w:proofErr w:type="spellStart"/>
      <w:r w:rsidRPr="00E94B66">
        <w:rPr>
          <w:rFonts w:ascii="ResponsaTTF" w:hAnsi="Times New Roman" w:cs="David" w:hint="eastAsia"/>
          <w:color w:val="000000"/>
          <w:sz w:val="24"/>
          <w:szCs w:val="24"/>
          <w:rtl/>
        </w:rPr>
        <w:t>יב</w:t>
      </w:r>
      <w:proofErr w:type="spellEnd"/>
      <w:r>
        <w:rPr>
          <w:rFonts w:ascii="ResponsaTTF" w:hAnsi="Times New Roman" w:cs="David" w:hint="cs"/>
          <w:color w:val="000000"/>
          <w:sz w:val="24"/>
          <w:szCs w:val="24"/>
          <w:rtl/>
        </w:rPr>
        <w:t xml:space="preserve">, </w:t>
      </w:r>
      <w:proofErr w:type="spellStart"/>
      <w:r>
        <w:rPr>
          <w:rFonts w:ascii="ResponsaTTF" w:hAnsi="Times New Roman" w:cs="David" w:hint="cs"/>
          <w:color w:val="000000"/>
          <w:sz w:val="24"/>
          <w:szCs w:val="24"/>
          <w:rtl/>
        </w:rPr>
        <w:t>כא</w:t>
      </w:r>
      <w:proofErr w:type="spellEnd"/>
      <w:r>
        <w:rPr>
          <w:rFonts w:ascii="ResponsaTTF" w:hAnsi="Times New Roman" w:cs="David" w:hint="cs"/>
          <w:color w:val="000000"/>
          <w:sz w:val="24"/>
          <w:szCs w:val="24"/>
          <w:rtl/>
        </w:rPr>
        <w:t>):</w:t>
      </w:r>
      <w:r w:rsidRPr="00E94B66">
        <w:rPr>
          <w:rFonts w:ascii="ResponsaTTF" w:hAnsi="Times New Roman" w:cs="David"/>
          <w:color w:val="000000"/>
          <w:sz w:val="24"/>
          <w:szCs w:val="24"/>
          <w:rtl/>
        </w:rPr>
        <w:t xml:space="preserve"> </w:t>
      </w:r>
      <w:r>
        <w:rPr>
          <w:rFonts w:ascii="ResponsaTTF" w:hAnsi="Times New Roman" w:cs="David" w:hint="cs"/>
          <w:color w:val="000000"/>
          <w:sz w:val="24"/>
          <w:szCs w:val="24"/>
          <w:rtl/>
        </w:rPr>
        <w:t>"</w:t>
      </w:r>
      <w:r w:rsidRPr="00E94B66">
        <w:rPr>
          <w:rFonts w:ascii="ResponsaTTF" w:hAnsi="Times New Roman" w:cs="Aharoni" w:hint="eastAsia"/>
          <w:color w:val="000000"/>
          <w:sz w:val="24"/>
          <w:szCs w:val="24"/>
          <w:rtl/>
        </w:rPr>
        <w:t>וַיִּקְרָא</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מֹשֶׁה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לְכָל</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זִקְנֵי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יִשְׂרָאֵל</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וַיֹּאמֶר</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אֲלֵהֶם</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מִשְׁכוּ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וּקְחוּ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לָכֶם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צֹאן</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לְמִשְׁפְּחֹתֵיכֶם</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וְשַׁחֲטוּ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הַפָּסַח</w:t>
      </w:r>
      <w:r>
        <w:rPr>
          <w:rFonts w:ascii="ResponsaTTF" w:hAnsi="Times New Roman" w:cs="Aharoni" w:hint="cs"/>
          <w:color w:val="000000"/>
          <w:sz w:val="24"/>
          <w:szCs w:val="24"/>
          <w:rtl/>
        </w:rPr>
        <w:t>".</w:t>
      </w:r>
      <w:r>
        <w:rPr>
          <w:rFonts w:ascii="ResponsaTTF" w:hAnsi="Times New Roman" w:cs="David" w:hint="cs"/>
          <w:color w:val="000000"/>
          <w:sz w:val="24"/>
          <w:szCs w:val="24"/>
          <w:rtl/>
        </w:rPr>
        <w:t xml:space="preserve"> הציווי העכשווי ממשיך בציווי לדורות </w:t>
      </w:r>
      <w:r>
        <w:rPr>
          <w:rFonts w:ascii="ResponsaTTF" w:hAnsi="Times New Roman" w:cs="Aharoni" w:hint="cs"/>
          <w:color w:val="000000"/>
          <w:sz w:val="24"/>
          <w:szCs w:val="24"/>
          <w:rtl/>
        </w:rPr>
        <w:t>:</w:t>
      </w:r>
      <w:r w:rsidRPr="00E94B66">
        <w:rPr>
          <w:rFonts w:ascii="ResponsaTTF" w:hAnsi="Times New Roman" w:cs="Aharoni"/>
          <w:color w:val="000000"/>
          <w:sz w:val="24"/>
          <w:szCs w:val="24"/>
          <w:rtl/>
        </w:rPr>
        <w:t xml:space="preserve"> </w:t>
      </w:r>
      <w:r>
        <w:rPr>
          <w:rFonts w:ascii="ResponsaTTF" w:hAnsi="Times New Roman" w:cs="David" w:hint="cs"/>
          <w:color w:val="000000"/>
          <w:sz w:val="24"/>
          <w:szCs w:val="24"/>
          <w:rtl/>
        </w:rPr>
        <w:t xml:space="preserve">" </w:t>
      </w:r>
      <w:r w:rsidRPr="00E94B66">
        <w:rPr>
          <w:rFonts w:ascii="ResponsaTTF" w:hAnsi="Times New Roman" w:cs="Aharoni" w:hint="eastAsia"/>
          <w:color w:val="000000"/>
          <w:sz w:val="24"/>
          <w:szCs w:val="24"/>
          <w:rtl/>
        </w:rPr>
        <w:t>וּשְׁמַרְתֶּם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הַדָּבָר</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הַזֶּה</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לְחָק</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וּלְבָנֶיךָ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עַד</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עוֹלָם</w:t>
      </w:r>
      <w:r>
        <w:rPr>
          <w:rFonts w:ascii="ResponsaTTF" w:hAnsi="Times New Roman" w:cs="Aharoni" w:hint="cs"/>
          <w:color w:val="000000"/>
          <w:sz w:val="24"/>
          <w:szCs w:val="24"/>
          <w:rtl/>
        </w:rPr>
        <w:t xml:space="preserve">". </w:t>
      </w:r>
      <w:r>
        <w:rPr>
          <w:rFonts w:ascii="ResponsaTTF" w:hAnsi="Times New Roman" w:cs="David" w:hint="cs"/>
          <w:color w:val="000000"/>
          <w:sz w:val="24"/>
          <w:szCs w:val="24"/>
          <w:rtl/>
        </w:rPr>
        <w:t xml:space="preserve">הדרך המרכזית לשמירת </w:t>
      </w:r>
      <w:proofErr w:type="spellStart"/>
      <w:r>
        <w:rPr>
          <w:rFonts w:ascii="ResponsaTTF" w:hAnsi="Times New Roman" w:cs="David" w:hint="cs"/>
          <w:color w:val="000000"/>
          <w:sz w:val="24"/>
          <w:szCs w:val="24"/>
          <w:rtl/>
        </w:rPr>
        <w:t>חק</w:t>
      </w:r>
      <w:proofErr w:type="spellEnd"/>
      <w:r>
        <w:rPr>
          <w:rFonts w:ascii="ResponsaTTF" w:hAnsi="Times New Roman" w:cs="David" w:hint="cs"/>
          <w:color w:val="000000"/>
          <w:sz w:val="24"/>
          <w:szCs w:val="24"/>
          <w:rtl/>
        </w:rPr>
        <w:t xml:space="preserve"> זה לדורות מתקשר כמובן לציווי בהעברת המסר לבנים (פס' </w:t>
      </w:r>
      <w:proofErr w:type="spellStart"/>
      <w:r>
        <w:rPr>
          <w:rFonts w:ascii="ResponsaTTF" w:hAnsi="Times New Roman" w:cs="David" w:hint="cs"/>
          <w:color w:val="000000"/>
          <w:sz w:val="24"/>
          <w:szCs w:val="24"/>
          <w:rtl/>
        </w:rPr>
        <w:t>כו</w:t>
      </w:r>
      <w:proofErr w:type="spellEnd"/>
      <w:r>
        <w:rPr>
          <w:rFonts w:ascii="ResponsaTTF" w:hAnsi="Times New Roman" w:cs="David" w:hint="cs"/>
          <w:color w:val="000000"/>
          <w:sz w:val="24"/>
          <w:szCs w:val="24"/>
          <w:rtl/>
        </w:rPr>
        <w:t xml:space="preserve">- </w:t>
      </w:r>
      <w:proofErr w:type="spellStart"/>
      <w:r>
        <w:rPr>
          <w:rFonts w:ascii="ResponsaTTF" w:hAnsi="Times New Roman" w:cs="David" w:hint="cs"/>
          <w:color w:val="000000"/>
          <w:sz w:val="24"/>
          <w:szCs w:val="24"/>
          <w:rtl/>
        </w:rPr>
        <w:t>כז</w:t>
      </w:r>
      <w:proofErr w:type="spellEnd"/>
      <w:r>
        <w:rPr>
          <w:rFonts w:ascii="ResponsaTTF" w:hAnsi="Times New Roman" w:cs="David" w:hint="cs"/>
          <w:color w:val="000000"/>
          <w:sz w:val="24"/>
          <w:szCs w:val="24"/>
          <w:rtl/>
        </w:rPr>
        <w:t>): "</w:t>
      </w:r>
      <w:r w:rsidRPr="00E94B66">
        <w:rPr>
          <w:rFonts w:ascii="ResponsaTTF" w:hAnsi="Times New Roman" w:cs="Aharoni" w:hint="eastAsia"/>
          <w:color w:val="000000"/>
          <w:sz w:val="24"/>
          <w:szCs w:val="24"/>
          <w:rtl/>
        </w:rPr>
        <w:t>וְהָיָה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כִּי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יֹאמְרוּ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אֲלֵיכֶם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בְּנֵיכֶם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הָעֲבֹדָה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הַזֹּאת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לָכֶם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וַאֲמַרְתֶּם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זֶבַח</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פֶּסַח</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הוּא</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w:t>
      </w:r>
      <w:r>
        <w:rPr>
          <w:rFonts w:ascii="ResponsaTTF" w:hAnsi="Times New Roman" w:cs="Aharoni" w:hint="cs"/>
          <w:color w:val="000000"/>
          <w:sz w:val="24"/>
          <w:szCs w:val="24"/>
          <w:rtl/>
        </w:rPr>
        <w:t xml:space="preserve">ה' </w:t>
      </w:r>
      <w:r w:rsidRPr="00E94B66">
        <w:rPr>
          <w:rFonts w:ascii="ResponsaTTF" w:hAnsi="Times New Roman" w:cs="Aharoni" w:hint="eastAsia"/>
          <w:color w:val="000000"/>
          <w:sz w:val="24"/>
          <w:szCs w:val="24"/>
          <w:rtl/>
        </w:rPr>
        <w:t>אֲשֶׁר</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פָּסַח</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עַל</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בָּתֵּי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בְנֵי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יִשְׂרָאֵל</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בְּמִצְרַיִם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בְּנָגְפּוֹ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מִצְרַיִם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וְאֶת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בָּתֵּינוּ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הִצִּיל</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וַיִּקֹּד</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הָעָם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וַיִּשְׁתַּחֲווּ</w:t>
      </w:r>
      <w:r w:rsidRPr="00E94B66">
        <w:rPr>
          <w:rFonts w:ascii="ResponsaTTF" w:hAnsi="Times New Roman" w:cs="Aharoni"/>
          <w:color w:val="000000"/>
          <w:sz w:val="24"/>
          <w:szCs w:val="24"/>
          <w:rtl/>
        </w:rPr>
        <w:t>:</w:t>
      </w:r>
      <w:r>
        <w:rPr>
          <w:rFonts w:ascii="ResponsaTTF" w:hAnsi="Times New Roman" w:cs="Aharoni" w:hint="cs"/>
          <w:color w:val="000000"/>
          <w:sz w:val="24"/>
          <w:szCs w:val="24"/>
          <w:rtl/>
        </w:rPr>
        <w:t xml:space="preserve">". </w:t>
      </w:r>
      <w:r>
        <w:rPr>
          <w:rFonts w:ascii="ResponsaTTF" w:hAnsi="Times New Roman" w:cs="David" w:hint="cs"/>
          <w:color w:val="000000"/>
          <w:sz w:val="24"/>
          <w:szCs w:val="24"/>
          <w:rtl/>
        </w:rPr>
        <w:t xml:space="preserve"> חז"ל אפיינו דיון זה כהעברת המסר לילד המכונה "רשע". הסיבה לכך, כנראה, נעוצה בכך  כי ילד זה איננו שואל את אביו אלא אומר  (</w:t>
      </w:r>
      <w:r w:rsidRPr="00E94B66">
        <w:rPr>
          <w:rFonts w:ascii="ResponsaTTF" w:hAnsi="Times New Roman" w:cs="Aharoni" w:hint="eastAsia"/>
          <w:color w:val="000000"/>
          <w:sz w:val="24"/>
          <w:szCs w:val="24"/>
          <w:rtl/>
        </w:rPr>
        <w:t>וְהָיָה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כִּי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יֹאמְרוּ</w:t>
      </w:r>
      <w:r>
        <w:rPr>
          <w:rFonts w:ascii="ResponsaTTF" w:hAnsi="Times New Roman" w:cs="Aharoni" w:hint="cs"/>
          <w:color w:val="000000"/>
          <w:sz w:val="24"/>
          <w:szCs w:val="24"/>
          <w:rtl/>
        </w:rPr>
        <w:t xml:space="preserve">). </w:t>
      </w:r>
      <w:r>
        <w:rPr>
          <w:rFonts w:ascii="ResponsaTTF" w:hAnsi="Times New Roman" w:cs="David" w:hint="cs"/>
          <w:color w:val="000000"/>
          <w:sz w:val="24"/>
          <w:szCs w:val="24"/>
          <w:rtl/>
        </w:rPr>
        <w:t xml:space="preserve">לכאורה אינו קשוב לקבלת תשובה ולכן נראה כי הוא מעוניין להתריס ולא באמת לברר. בסוף הפרשה, במסגרת הציווי על קדושת הבכורות שהוא למעשה זיכרון ליציאת מצרים ממשיכה התורה שוב לצוות על העברת המסר לבנים וחינוכם  (פרק </w:t>
      </w:r>
      <w:proofErr w:type="spellStart"/>
      <w:r>
        <w:rPr>
          <w:rFonts w:ascii="ResponsaTTF" w:hAnsi="Times New Roman" w:cs="David" w:hint="cs"/>
          <w:color w:val="000000"/>
          <w:sz w:val="24"/>
          <w:szCs w:val="24"/>
          <w:rtl/>
        </w:rPr>
        <w:t>יג</w:t>
      </w:r>
      <w:proofErr w:type="spellEnd"/>
      <w:r>
        <w:rPr>
          <w:rFonts w:ascii="ResponsaTTF" w:hAnsi="Times New Roman" w:cs="David" w:hint="cs"/>
          <w:color w:val="000000"/>
          <w:sz w:val="24"/>
          <w:szCs w:val="24"/>
          <w:rtl/>
        </w:rPr>
        <w:t>, ח):  "</w:t>
      </w:r>
      <w:r w:rsidRPr="00E94B66">
        <w:rPr>
          <w:rFonts w:ascii="ResponsaTTF" w:hAnsi="Times New Roman" w:cs="Aharoni" w:hint="eastAsia"/>
          <w:color w:val="000000"/>
          <w:sz w:val="24"/>
          <w:szCs w:val="24"/>
          <w:rtl/>
        </w:rPr>
        <w:t>וְהִגַּדְתָּ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לְבִנְךָ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בַּיּוֹם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הַהוּא</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לֵאמֹר</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בַּעֲבוּר</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זֶה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עָשָׂה</w:t>
      </w:r>
      <w:r w:rsidRPr="00E94B66">
        <w:rPr>
          <w:rFonts w:ascii="ResponsaTTF" w:hAnsi="Times New Roman" w:cs="Aharoni"/>
          <w:color w:val="000000"/>
          <w:sz w:val="24"/>
          <w:szCs w:val="24"/>
          <w:rtl/>
        </w:rPr>
        <w:t xml:space="preserve"> </w:t>
      </w:r>
      <w:r>
        <w:rPr>
          <w:rFonts w:ascii="ResponsaTTF" w:hAnsi="Times New Roman" w:cs="Aharoni" w:hint="cs"/>
          <w:color w:val="000000"/>
          <w:sz w:val="24"/>
          <w:szCs w:val="24"/>
          <w:rtl/>
        </w:rPr>
        <w:t xml:space="preserve">ה' </w:t>
      </w:r>
      <w:r w:rsidRPr="00E94B66">
        <w:rPr>
          <w:rFonts w:ascii="ResponsaTTF" w:hAnsi="Times New Roman" w:cs="Aharoni" w:hint="eastAsia"/>
          <w:color w:val="000000"/>
          <w:sz w:val="24"/>
          <w:szCs w:val="24"/>
          <w:rtl/>
        </w:rPr>
        <w:t>לִי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בְּצֵאתִי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מִמִּצְרָיִם</w:t>
      </w:r>
      <w:r>
        <w:rPr>
          <w:rFonts w:ascii="ResponsaTTF" w:hAnsi="Times New Roman" w:cs="Aharoni" w:hint="cs"/>
          <w:color w:val="000000"/>
          <w:sz w:val="24"/>
          <w:szCs w:val="24"/>
          <w:rtl/>
        </w:rPr>
        <w:t>".</w:t>
      </w:r>
      <w:r>
        <w:rPr>
          <w:rFonts w:ascii="ResponsaTTF" w:hAnsi="Times New Roman" w:cs="David" w:hint="cs"/>
          <w:color w:val="000000"/>
          <w:sz w:val="24"/>
          <w:szCs w:val="24"/>
          <w:rtl/>
        </w:rPr>
        <w:t xml:space="preserve"> כיוון שילד זה אינו שואל , והאב מצווה להגיד לו, כינו חז"ל בן זה "שאינו יודע לשאול". מספר פסוקים לאחר מכן ממשיכה שוב התורה באותו כיוון של העברת מסר יציאת מצרים לבנים (פס יד): "</w:t>
      </w:r>
      <w:r w:rsidRPr="00E94B66">
        <w:rPr>
          <w:rFonts w:ascii="ResponsaTTF" w:hAnsi="Times New Roman" w:cs="Aharoni" w:hint="eastAsia"/>
          <w:color w:val="000000"/>
          <w:sz w:val="24"/>
          <w:szCs w:val="24"/>
          <w:rtl/>
        </w:rPr>
        <w:t>וְהָיָה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כִּי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יִשְׁאָלְךָ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בִנְךָ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מָחָר</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לֵאמֹר</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זֹּאת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וְאָמַרְתָּ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אֵלָיו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בְּחֹזֶק</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יָד</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הוֹצִיאָנוּ</w:t>
      </w:r>
      <w:r w:rsidRPr="00E94B66">
        <w:rPr>
          <w:rFonts w:ascii="ResponsaTTF" w:hAnsi="Times New Roman" w:cs="Aharoni"/>
          <w:color w:val="000000"/>
          <w:sz w:val="24"/>
          <w:szCs w:val="24"/>
          <w:rtl/>
        </w:rPr>
        <w:t xml:space="preserve"> </w:t>
      </w:r>
      <w:r>
        <w:rPr>
          <w:rFonts w:ascii="ResponsaTTF" w:hAnsi="Times New Roman" w:cs="Aharoni" w:hint="cs"/>
          <w:color w:val="000000"/>
          <w:sz w:val="24"/>
          <w:szCs w:val="24"/>
          <w:rtl/>
        </w:rPr>
        <w:t xml:space="preserve">ה' </w:t>
      </w:r>
      <w:r w:rsidRPr="00E94B66">
        <w:rPr>
          <w:rFonts w:ascii="ResponsaTTF" w:hAnsi="Times New Roman" w:cs="Aharoni" w:hint="eastAsia"/>
          <w:color w:val="000000"/>
          <w:sz w:val="24"/>
          <w:szCs w:val="24"/>
          <w:rtl/>
        </w:rPr>
        <w:t>מִמִּצְרַיִם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מִבֵּית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עֲבָדִים</w:t>
      </w:r>
      <w:r>
        <w:rPr>
          <w:rFonts w:ascii="ResponsaTTF" w:hAnsi="Times New Roman" w:cs="Aharoni" w:hint="cs"/>
          <w:color w:val="000000"/>
          <w:sz w:val="24"/>
          <w:szCs w:val="24"/>
          <w:rtl/>
        </w:rPr>
        <w:t xml:space="preserve">". </w:t>
      </w:r>
      <w:r>
        <w:rPr>
          <w:rFonts w:ascii="ResponsaTTF" w:hAnsi="Times New Roman" w:cs="David" w:hint="cs"/>
          <w:color w:val="000000"/>
          <w:sz w:val="24"/>
          <w:szCs w:val="24"/>
          <w:rtl/>
        </w:rPr>
        <w:t>בן זה השואל שאלה תמימה וסתמית (</w:t>
      </w:r>
      <w:r w:rsidRPr="00E94B66">
        <w:rPr>
          <w:rFonts w:ascii="ResponsaTTF" w:hAnsi="Times New Roman" w:cs="Aharoni" w:hint="eastAsia"/>
          <w:color w:val="000000"/>
          <w:sz w:val="24"/>
          <w:szCs w:val="24"/>
          <w:rtl/>
        </w:rPr>
        <w:t>מַה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זֹּאת</w:t>
      </w:r>
      <w:r>
        <w:rPr>
          <w:rFonts w:ascii="ResponsaTTF" w:hAnsi="Times New Roman" w:cs="David" w:hint="cs"/>
          <w:color w:val="000000"/>
          <w:sz w:val="24"/>
          <w:szCs w:val="24"/>
          <w:rtl/>
        </w:rPr>
        <w:t>?) מכונה על ידם - הבן התם.</w:t>
      </w:r>
    </w:p>
    <w:p w14:paraId="59C3FCA2" w14:textId="77777777" w:rsidR="00272220" w:rsidRDefault="00272220" w:rsidP="00272220">
      <w:pPr>
        <w:widowControl w:val="0"/>
        <w:autoSpaceDE w:val="0"/>
        <w:autoSpaceDN w:val="0"/>
        <w:adjustRightInd w:val="0"/>
        <w:spacing w:after="0" w:line="360" w:lineRule="auto"/>
        <w:rPr>
          <w:rFonts w:ascii="ResponsaTTF" w:hAnsi="Times New Roman" w:cs="David" w:hint="cs"/>
          <w:color w:val="000000"/>
          <w:sz w:val="24"/>
          <w:szCs w:val="24"/>
          <w:rtl/>
        </w:rPr>
      </w:pPr>
      <w:r>
        <w:rPr>
          <w:rFonts w:ascii="ResponsaTTF" w:hAnsi="Times New Roman" w:cs="David" w:hint="cs"/>
          <w:color w:val="000000"/>
          <w:sz w:val="24"/>
          <w:szCs w:val="24"/>
          <w:rtl/>
        </w:rPr>
        <w:t xml:space="preserve">רק בספר </w:t>
      </w:r>
      <w:r w:rsidRPr="00367E75">
        <w:rPr>
          <w:rFonts w:ascii="ResponsaTTF" w:hAnsi="Times New Roman" w:cs="David" w:hint="eastAsia"/>
          <w:color w:val="000000"/>
          <w:sz w:val="24"/>
          <w:szCs w:val="24"/>
          <w:rtl/>
        </w:rPr>
        <w:t>דברים</w:t>
      </w:r>
      <w:r>
        <w:rPr>
          <w:rFonts w:ascii="ResponsaTTF" w:hAnsi="Times New Roman" w:cs="David" w:hint="cs"/>
          <w:color w:val="000000"/>
          <w:sz w:val="24"/>
          <w:szCs w:val="24"/>
          <w:rtl/>
        </w:rPr>
        <w:t>, משנה תורה, כאשר חוזרת התורה על חינוך הבנים על מצוות זכירת יציאת מצרים, אומרת התורה (</w:t>
      </w:r>
      <w:r w:rsidRPr="00367E75">
        <w:rPr>
          <w:rFonts w:ascii="ResponsaTTF" w:hAnsi="Times New Roman" w:cs="David" w:hint="eastAsia"/>
          <w:color w:val="000000"/>
          <w:sz w:val="24"/>
          <w:szCs w:val="24"/>
          <w:rtl/>
        </w:rPr>
        <w:t>ו</w:t>
      </w:r>
      <w:r>
        <w:rPr>
          <w:rFonts w:ascii="ResponsaTTF" w:hAnsi="Times New Roman" w:cs="David" w:hint="cs"/>
          <w:color w:val="000000"/>
          <w:sz w:val="24"/>
          <w:szCs w:val="24"/>
          <w:rtl/>
        </w:rPr>
        <w:t xml:space="preserve">, כ- </w:t>
      </w:r>
      <w:proofErr w:type="spellStart"/>
      <w:r>
        <w:rPr>
          <w:rFonts w:ascii="ResponsaTTF" w:hAnsi="Times New Roman" w:cs="David" w:hint="cs"/>
          <w:color w:val="000000"/>
          <w:sz w:val="24"/>
          <w:szCs w:val="24"/>
          <w:rtl/>
        </w:rPr>
        <w:t>כא</w:t>
      </w:r>
      <w:proofErr w:type="spellEnd"/>
      <w:r>
        <w:rPr>
          <w:rFonts w:ascii="ResponsaTTF" w:hAnsi="Times New Roman" w:cs="David" w:hint="cs"/>
          <w:color w:val="000000"/>
          <w:sz w:val="24"/>
          <w:szCs w:val="24"/>
          <w:rtl/>
        </w:rPr>
        <w:t>): "</w:t>
      </w:r>
      <w:r w:rsidRPr="00E94B66">
        <w:rPr>
          <w:rFonts w:ascii="ResponsaTTF" w:hAnsi="Times New Roman" w:cs="Aharoni" w:hint="eastAsia"/>
          <w:color w:val="000000"/>
          <w:sz w:val="24"/>
          <w:szCs w:val="24"/>
          <w:rtl/>
        </w:rPr>
        <w:t>כִּי</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יִשְׁאָלְךָ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בִנְךָ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מָחָר</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לֵאמֹר</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מָה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הָעֵדֹת</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וְהַחֻקִּים</w:t>
      </w:r>
      <w:proofErr w:type="spellEnd"/>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וְהַמִּשְׁפָּטִים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אֲשֶׁר</w:t>
      </w:r>
      <w:r w:rsidRPr="00E94B66">
        <w:rPr>
          <w:rFonts w:ascii="ResponsaTTF" w:hAnsi="Times New Roman" w:cs="Aharoni"/>
          <w:color w:val="000000"/>
          <w:sz w:val="24"/>
          <w:szCs w:val="24"/>
          <w:rtl/>
        </w:rPr>
        <w:t xml:space="preserve"> </w:t>
      </w:r>
      <w:proofErr w:type="spellStart"/>
      <w:r w:rsidRPr="00E94B66">
        <w:rPr>
          <w:rFonts w:ascii="ResponsaTTF" w:hAnsi="Times New Roman" w:cs="Aharoni" w:hint="eastAsia"/>
          <w:color w:val="000000"/>
          <w:sz w:val="24"/>
          <w:szCs w:val="24"/>
          <w:rtl/>
        </w:rPr>
        <w:t>צִוָּה</w:t>
      </w:r>
      <w:proofErr w:type="spellEnd"/>
      <w:r w:rsidRPr="00E94B66">
        <w:rPr>
          <w:rFonts w:ascii="ResponsaTTF" w:hAnsi="Times New Roman" w:cs="Aharoni"/>
          <w:color w:val="000000"/>
          <w:sz w:val="24"/>
          <w:szCs w:val="24"/>
          <w:rtl/>
        </w:rPr>
        <w:t xml:space="preserve"> </w:t>
      </w:r>
      <w:r>
        <w:rPr>
          <w:rFonts w:ascii="ResponsaTTF" w:hAnsi="Times New Roman" w:cs="Aharoni" w:hint="cs"/>
          <w:color w:val="000000"/>
          <w:sz w:val="24"/>
          <w:szCs w:val="24"/>
          <w:rtl/>
        </w:rPr>
        <w:t>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w:t>
      </w:r>
      <w:r>
        <w:rPr>
          <w:rFonts w:ascii="ResponsaTTF" w:hAnsi="Times New Roman" w:cs="Aharoni" w:hint="cs"/>
          <w:color w:val="000000"/>
          <w:sz w:val="24"/>
          <w:szCs w:val="24"/>
          <w:rtl/>
        </w:rPr>
        <w:t>-</w:t>
      </w:r>
      <w:r w:rsidRPr="00E94B66">
        <w:rPr>
          <w:rFonts w:ascii="ResponsaTTF" w:hAnsi="Times New Roman" w:cs="Aharoni" w:hint="eastAsia"/>
          <w:color w:val="000000"/>
          <w:sz w:val="24"/>
          <w:szCs w:val="24"/>
          <w:rtl/>
        </w:rPr>
        <w:t>לֹהֵינוּ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אֶתְכֶם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וְאָמַרְתָּ</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לְבִנְךָ</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עֲבָדִים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הָיִינוּ</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לְפַרְעֹה</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בְּמִצְרָיִם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וַיּוֹצִיאֵנוּ</w:t>
      </w:r>
      <w:r w:rsidRPr="00E94B66">
        <w:rPr>
          <w:rFonts w:ascii="ResponsaTTF" w:hAnsi="Times New Roman" w:cs="Aharoni"/>
          <w:color w:val="000000"/>
          <w:sz w:val="24"/>
          <w:szCs w:val="24"/>
          <w:rtl/>
        </w:rPr>
        <w:t xml:space="preserve"> </w:t>
      </w:r>
      <w:r>
        <w:rPr>
          <w:rFonts w:ascii="ResponsaTTF" w:hAnsi="Times New Roman" w:cs="Aharoni" w:hint="cs"/>
          <w:color w:val="000000"/>
          <w:sz w:val="24"/>
          <w:szCs w:val="24"/>
          <w:rtl/>
        </w:rPr>
        <w:t xml:space="preserve">ה' </w:t>
      </w:r>
      <w:r w:rsidRPr="00E94B66">
        <w:rPr>
          <w:rFonts w:ascii="ResponsaTTF" w:hAnsi="Times New Roman" w:cs="Aharoni" w:hint="eastAsia"/>
          <w:color w:val="000000"/>
          <w:sz w:val="24"/>
          <w:szCs w:val="24"/>
          <w:rtl/>
        </w:rPr>
        <w:t>מִמִּצְרַיִם</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בְּיָד</w:t>
      </w:r>
      <w:r w:rsidRPr="00E94B66">
        <w:rPr>
          <w:rFonts w:ascii="ResponsaTTF" w:hAnsi="Times New Roman" w:cs="Aharoni"/>
          <w:color w:val="000000"/>
          <w:sz w:val="24"/>
          <w:szCs w:val="24"/>
          <w:rtl/>
        </w:rPr>
        <w:t xml:space="preserve"> </w:t>
      </w:r>
      <w:r w:rsidRPr="00E94B66">
        <w:rPr>
          <w:rFonts w:ascii="ResponsaTTF" w:hAnsi="Times New Roman" w:cs="Aharoni" w:hint="eastAsia"/>
          <w:color w:val="000000"/>
          <w:sz w:val="24"/>
          <w:szCs w:val="24"/>
          <w:rtl/>
        </w:rPr>
        <w:t>חֲזָקָה</w:t>
      </w:r>
      <w:r>
        <w:rPr>
          <w:rFonts w:ascii="ResponsaTTF" w:hAnsi="Times New Roman" w:cs="Aharoni" w:hint="cs"/>
          <w:color w:val="000000"/>
          <w:sz w:val="24"/>
          <w:szCs w:val="24"/>
          <w:rtl/>
        </w:rPr>
        <w:t xml:space="preserve">". </w:t>
      </w:r>
      <w:r w:rsidRPr="00244D78">
        <w:rPr>
          <w:rFonts w:ascii="ResponsaTTF" w:hAnsi="Times New Roman" w:cs="David" w:hint="cs"/>
          <w:color w:val="000000"/>
          <w:sz w:val="24"/>
          <w:szCs w:val="24"/>
          <w:rtl/>
        </w:rPr>
        <w:t>שאלה רחבה וסקרנית זו</w:t>
      </w:r>
      <w:r>
        <w:rPr>
          <w:rFonts w:ascii="ResponsaTTF" w:hAnsi="Times New Roman" w:cs="David" w:hint="cs"/>
          <w:color w:val="000000"/>
          <w:sz w:val="24"/>
          <w:szCs w:val="24"/>
          <w:rtl/>
        </w:rPr>
        <w:t xml:space="preserve"> מביאה את </w:t>
      </w:r>
      <w:r w:rsidRPr="00367E75">
        <w:rPr>
          <w:rFonts w:ascii="ResponsaTTF" w:hAnsi="Times New Roman" w:cs="David" w:hint="cs"/>
          <w:color w:val="000000"/>
          <w:sz w:val="24"/>
          <w:szCs w:val="24"/>
          <w:rtl/>
        </w:rPr>
        <w:t xml:space="preserve"> חז"ל</w:t>
      </w:r>
      <w:r>
        <w:rPr>
          <w:rFonts w:ascii="ResponsaTTF" w:hAnsi="Times New Roman" w:cs="David" w:hint="cs"/>
          <w:color w:val="000000"/>
          <w:sz w:val="24"/>
          <w:szCs w:val="24"/>
          <w:rtl/>
        </w:rPr>
        <w:t xml:space="preserve"> לאפיין</w:t>
      </w:r>
      <w:r w:rsidRPr="00367E75">
        <w:rPr>
          <w:rFonts w:ascii="ResponsaTTF" w:hAnsi="Times New Roman" w:cs="David" w:hint="cs"/>
          <w:color w:val="000000"/>
          <w:sz w:val="24"/>
          <w:szCs w:val="24"/>
          <w:rtl/>
        </w:rPr>
        <w:t xml:space="preserve"> בן</w:t>
      </w:r>
      <w:r>
        <w:rPr>
          <w:rFonts w:ascii="ResponsaTTF" w:hAnsi="Times New Roman" w:cs="David" w:hint="cs"/>
          <w:color w:val="000000"/>
          <w:sz w:val="24"/>
          <w:szCs w:val="24"/>
          <w:rtl/>
        </w:rPr>
        <w:t xml:space="preserve"> זה</w:t>
      </w:r>
      <w:r w:rsidRPr="00367E75">
        <w:rPr>
          <w:rFonts w:ascii="ResponsaTTF" w:hAnsi="Times New Roman" w:cs="David" w:hint="cs"/>
          <w:color w:val="000000"/>
          <w:sz w:val="24"/>
          <w:szCs w:val="24"/>
          <w:rtl/>
        </w:rPr>
        <w:t xml:space="preserve"> כבן החכם</w:t>
      </w:r>
      <w:r>
        <w:rPr>
          <w:rFonts w:ascii="ResponsaTTF" w:hAnsi="Times New Roman" w:cs="David" w:hint="cs"/>
          <w:color w:val="000000"/>
          <w:sz w:val="24"/>
          <w:szCs w:val="24"/>
          <w:rtl/>
        </w:rPr>
        <w:t xml:space="preserve">. </w:t>
      </w:r>
    </w:p>
    <w:p w14:paraId="4EBFC6EA" w14:textId="77777777" w:rsidR="00272220" w:rsidRDefault="00272220" w:rsidP="00272220">
      <w:pPr>
        <w:widowControl w:val="0"/>
        <w:autoSpaceDE w:val="0"/>
        <w:autoSpaceDN w:val="0"/>
        <w:adjustRightInd w:val="0"/>
        <w:spacing w:after="0" w:line="360" w:lineRule="auto"/>
        <w:rPr>
          <w:rFonts w:ascii="ResponsaTTF" w:hAnsi="Times New Roman" w:cs="David" w:hint="cs"/>
          <w:color w:val="000000"/>
          <w:sz w:val="24"/>
          <w:szCs w:val="24"/>
          <w:rtl/>
        </w:rPr>
      </w:pPr>
      <w:r>
        <w:rPr>
          <w:rFonts w:ascii="ResponsaTTF" w:hAnsi="Times New Roman" w:cs="David" w:hint="cs"/>
          <w:color w:val="000000"/>
          <w:sz w:val="24"/>
          <w:szCs w:val="24"/>
          <w:rtl/>
        </w:rPr>
        <w:t xml:space="preserve">המדרש מהמכילתא  שמגדיר את הבנים, כידוע נכנס לנוסח ההגדה בליל הסדר. המעניין הוא כי סדר הבנים במדרש ובהגדה שונה לגמרי:  חכם, רשע, תם ושאינו יודע לשאול. </w:t>
      </w:r>
      <w:proofErr w:type="spellStart"/>
      <w:r>
        <w:rPr>
          <w:rFonts w:ascii="ResponsaTTF" w:hAnsi="Times New Roman" w:cs="David" w:hint="cs"/>
          <w:color w:val="000000"/>
          <w:sz w:val="24"/>
          <w:szCs w:val="24"/>
          <w:rtl/>
        </w:rPr>
        <w:t>האבודרהם</w:t>
      </w:r>
      <w:proofErr w:type="spellEnd"/>
      <w:r>
        <w:rPr>
          <w:rFonts w:ascii="ResponsaTTF" w:hAnsi="Times New Roman" w:cs="David" w:hint="cs"/>
          <w:color w:val="000000"/>
          <w:sz w:val="24"/>
          <w:szCs w:val="24"/>
          <w:rtl/>
        </w:rPr>
        <w:t xml:space="preserve">  מהראשונים, הסביר את הסדר בהגדה כך, ששם נכתב על פי חכמת הבנים. החכם הוא כמובן ראשון ולאחריו הרשע שגם הוא חכם אך משתמש לרעה בחכמתו. לאחריהם התם שחוכמתו ירודה אך לפחות יודע לשאול. ובסוף הרשימה מופיע הבן שאפילו "אינו יודע לשאול".</w:t>
      </w:r>
    </w:p>
    <w:p w14:paraId="2E3EE6B6" w14:textId="77777777" w:rsidR="00272220" w:rsidRDefault="00272220" w:rsidP="00272220">
      <w:pPr>
        <w:widowControl w:val="0"/>
        <w:autoSpaceDE w:val="0"/>
        <w:autoSpaceDN w:val="0"/>
        <w:adjustRightInd w:val="0"/>
        <w:spacing w:after="0" w:line="360" w:lineRule="auto"/>
        <w:rPr>
          <w:rFonts w:ascii="ResponsaTTF" w:hAnsi="Times New Roman" w:cs="David" w:hint="cs"/>
          <w:color w:val="000000"/>
          <w:sz w:val="24"/>
          <w:szCs w:val="24"/>
          <w:rtl/>
        </w:rPr>
      </w:pPr>
      <w:r>
        <w:rPr>
          <w:rFonts w:ascii="ResponsaTTF" w:hAnsi="Times New Roman" w:cs="David" w:hint="cs"/>
          <w:color w:val="000000"/>
          <w:sz w:val="24"/>
          <w:szCs w:val="24"/>
          <w:rtl/>
        </w:rPr>
        <w:t xml:space="preserve">אך האם הסדר השונה בתורה, בה קודמים הבן רשע וזה שאינו יודע לשאול, לתם ולחכם, האם בסדר זה טמון איזשהו מסר. יתכן כי יש כאן מסר חשוב בענייני חינוך הבנים. אנו נוטים להשקיע בחינוך הילדים החכמים והממושמעים אך ילדים קשיי הבנה והמרדנים עלולים לקבל אצל הוריהם עדיפות שניה. באה התורה ומתחילה את ציווי החינוך דווקא בבן הרשע, מתוך הכרזה שאם יש ילד מרדני חובתך לקרב אותו להקשיב לדבריו ולהתמודד </w:t>
      </w:r>
      <w:proofErr w:type="spellStart"/>
      <w:r>
        <w:rPr>
          <w:rFonts w:ascii="ResponsaTTF" w:hAnsi="Times New Roman" w:cs="David" w:hint="cs"/>
          <w:color w:val="000000"/>
          <w:sz w:val="24"/>
          <w:szCs w:val="24"/>
          <w:rtl/>
        </w:rPr>
        <w:t>איתו</w:t>
      </w:r>
      <w:proofErr w:type="spellEnd"/>
      <w:r>
        <w:rPr>
          <w:rFonts w:ascii="ResponsaTTF" w:hAnsi="Times New Roman" w:cs="David" w:hint="cs"/>
          <w:color w:val="000000"/>
          <w:sz w:val="24"/>
          <w:szCs w:val="24"/>
          <w:rtl/>
        </w:rPr>
        <w:t xml:space="preserve">. נכון הוא כי תשובת המדרש היא "אף אתה הקהה את שיניו", אך צריך להבין מה הפירוש של ביטוי זה. הקהה את שיניו אין המשמעות הכה אותו בשיניו (זה באות כ"ף ולא קו"ף) אלא תקהה את החוד של "שיניו" כביכול את הארס של שאלותיו המתריסות. בשאלות אלו ישנו אוצר גדול של התבוננות, סקרנות וחיפוש האמת רק שהוא מנצל אותם להתרסה מתוך מצוקה מסוימת. אם כך תפקידם של ההורים לא לבטל את השאלות אלא להקהות את חודם המתריס ולהתמודד עם עצם השאלה. </w:t>
      </w:r>
      <w:r w:rsidRPr="00671E64">
        <w:rPr>
          <w:rFonts w:ascii="ResponsaTTF" w:hAnsi="Times New Roman" w:cs="David"/>
          <w:color w:val="000000"/>
          <w:sz w:val="24"/>
          <w:szCs w:val="24"/>
          <w:rtl/>
        </w:rPr>
        <w:t xml:space="preserve">דורשי רשומות </w:t>
      </w:r>
      <w:r>
        <w:rPr>
          <w:rFonts w:ascii="ResponsaTTF" w:hAnsi="Times New Roman" w:cs="David" w:hint="cs"/>
          <w:color w:val="000000"/>
          <w:sz w:val="24"/>
          <w:szCs w:val="24"/>
          <w:rtl/>
        </w:rPr>
        <w:t xml:space="preserve">אף הוכיחו </w:t>
      </w:r>
      <w:r>
        <w:rPr>
          <w:rFonts w:ascii="ResponsaTTF" w:hAnsi="Times New Roman" w:cs="David" w:hint="cs"/>
          <w:color w:val="000000"/>
          <w:sz w:val="24"/>
          <w:szCs w:val="24"/>
          <w:rtl/>
        </w:rPr>
        <w:lastRenderedPageBreak/>
        <w:t>בדרך הרמז</w:t>
      </w:r>
      <w:r w:rsidRPr="00671E64">
        <w:rPr>
          <w:rFonts w:ascii="ResponsaTTF" w:hAnsi="Times New Roman" w:cs="David"/>
          <w:color w:val="000000"/>
          <w:sz w:val="24"/>
          <w:szCs w:val="24"/>
          <w:rtl/>
        </w:rPr>
        <w:t xml:space="preserve"> כי אם תקהה (מלשון להפחית) לרשע (</w:t>
      </w:r>
      <w:proofErr w:type="spellStart"/>
      <w:r>
        <w:rPr>
          <w:rFonts w:ascii="ResponsaTTF" w:hAnsi="Times New Roman" w:cs="David" w:hint="cs"/>
          <w:color w:val="000000"/>
          <w:sz w:val="24"/>
          <w:szCs w:val="24"/>
          <w:rtl/>
        </w:rPr>
        <w:t>גימטריא</w:t>
      </w:r>
      <w:proofErr w:type="spellEnd"/>
      <w:r>
        <w:rPr>
          <w:rFonts w:ascii="ResponsaTTF" w:hAnsi="Times New Roman" w:cs="David" w:hint="cs"/>
          <w:color w:val="000000"/>
          <w:sz w:val="24"/>
          <w:szCs w:val="24"/>
          <w:rtl/>
        </w:rPr>
        <w:t xml:space="preserve"> </w:t>
      </w:r>
      <w:r w:rsidRPr="00671E64">
        <w:rPr>
          <w:rFonts w:ascii="ResponsaTTF" w:hAnsi="Times New Roman" w:cs="David"/>
          <w:color w:val="000000"/>
          <w:sz w:val="24"/>
          <w:szCs w:val="24"/>
          <w:rtl/>
        </w:rPr>
        <w:t>570) את שיניו (</w:t>
      </w:r>
      <w:proofErr w:type="spellStart"/>
      <w:r>
        <w:rPr>
          <w:rFonts w:ascii="ResponsaTTF" w:hAnsi="Times New Roman" w:cs="David" w:hint="cs"/>
          <w:color w:val="000000"/>
          <w:sz w:val="24"/>
          <w:szCs w:val="24"/>
          <w:rtl/>
        </w:rPr>
        <w:t>גי</w:t>
      </w:r>
      <w:proofErr w:type="spellEnd"/>
      <w:r>
        <w:rPr>
          <w:rFonts w:ascii="ResponsaTTF" w:hAnsi="Times New Roman" w:cs="David" w:hint="cs"/>
          <w:color w:val="000000"/>
          <w:sz w:val="24"/>
          <w:szCs w:val="24"/>
          <w:rtl/>
        </w:rPr>
        <w:t xml:space="preserve">' </w:t>
      </w:r>
      <w:r w:rsidRPr="00671E64">
        <w:rPr>
          <w:rFonts w:ascii="ResponsaTTF" w:hAnsi="Times New Roman" w:cs="David"/>
          <w:color w:val="000000"/>
          <w:sz w:val="24"/>
          <w:szCs w:val="24"/>
          <w:rtl/>
        </w:rPr>
        <w:t>366)</w:t>
      </w:r>
      <w:r>
        <w:rPr>
          <w:rFonts w:ascii="ResponsaTTF" w:hAnsi="Times New Roman" w:cs="David" w:hint="cs"/>
          <w:color w:val="000000"/>
          <w:sz w:val="24"/>
          <w:szCs w:val="24"/>
          <w:rtl/>
        </w:rPr>
        <w:t xml:space="preserve"> </w:t>
      </w:r>
      <w:r w:rsidRPr="00671E64">
        <w:rPr>
          <w:rFonts w:ascii="ResponsaTTF" w:hAnsi="Times New Roman" w:cs="David"/>
          <w:color w:val="000000"/>
          <w:sz w:val="24"/>
          <w:szCs w:val="24"/>
          <w:rtl/>
        </w:rPr>
        <w:t>התוצאה תהיה צדיק (204).</w:t>
      </w:r>
    </w:p>
    <w:p w14:paraId="3E259694" w14:textId="77777777" w:rsidR="00272220" w:rsidRPr="00367E75" w:rsidRDefault="00272220" w:rsidP="00272220">
      <w:pPr>
        <w:widowControl w:val="0"/>
        <w:autoSpaceDE w:val="0"/>
        <w:autoSpaceDN w:val="0"/>
        <w:adjustRightInd w:val="0"/>
        <w:spacing w:after="0" w:line="360" w:lineRule="auto"/>
        <w:rPr>
          <w:rFonts w:ascii="ResponsaTTF" w:hAnsi="Times New Roman" w:cs="David"/>
          <w:color w:val="000000"/>
          <w:sz w:val="24"/>
          <w:szCs w:val="24"/>
          <w:rtl/>
        </w:rPr>
      </w:pPr>
      <w:r>
        <w:rPr>
          <w:rFonts w:ascii="ResponsaTTF" w:hAnsi="Times New Roman" w:cs="David" w:hint="cs"/>
          <w:color w:val="000000"/>
          <w:sz w:val="24"/>
          <w:szCs w:val="24"/>
          <w:rtl/>
        </w:rPr>
        <w:t xml:space="preserve">לאחר מכן לשים לב לילד שאינו שואל, לא להתעלם מחינוכו, אלא לעורר את סקרנותו ע"י העברת מידע חשוב  אליו כדי שנוכל לעורר את סקרנותו. רק בשלב המאוחר נפנה לילדים "החיוביים" (לכאורה, אלה שפשוט נראה לנו שנוח לנו יותר בחינוכם). הם, גם על פי רוב, בינתיים יחפשו אתגרי לימוד בעצמם. לפיכך נתחיל ראשונה  בתם כדי לחזק אותו. רק לבסוף נגיע לבן החכם </w:t>
      </w:r>
      <w:proofErr w:type="spellStart"/>
      <w:r>
        <w:rPr>
          <w:rFonts w:ascii="ResponsaTTF" w:hAnsi="Times New Roman" w:cs="David" w:hint="cs"/>
          <w:color w:val="000000"/>
          <w:sz w:val="24"/>
          <w:szCs w:val="24"/>
          <w:rtl/>
        </w:rPr>
        <w:t>ואיתו</w:t>
      </w:r>
      <w:proofErr w:type="spellEnd"/>
      <w:r>
        <w:rPr>
          <w:rFonts w:ascii="ResponsaTTF" w:hAnsi="Times New Roman" w:cs="David" w:hint="cs"/>
          <w:color w:val="000000"/>
          <w:sz w:val="24"/>
          <w:szCs w:val="24"/>
          <w:rtl/>
        </w:rPr>
        <w:t xml:space="preserve"> נוכל ללמוד כל הלילה כי בינתיים בלימוד העצמי הוא בוודאי כבר צבר שאלות רבות. בסדר הבנים התורה מקנה לנו חשיבה ייחודית בעניין חינוך הילדים הנותנת לנו כלים להתמודדות עם הילדים השונים. </w:t>
      </w:r>
    </w:p>
    <w:p w14:paraId="1BBCB5DE" w14:textId="0D53816A" w:rsidR="00FA2F35" w:rsidRPr="00272220" w:rsidRDefault="00FA2F35" w:rsidP="00272220">
      <w:pPr>
        <w:pStyle w:val="a9"/>
        <w:rPr>
          <w:rtl/>
        </w:rPr>
      </w:pPr>
    </w:p>
    <w:sectPr w:rsidR="00FA2F35" w:rsidRPr="00272220"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72220"/>
    <w:rsid w:val="0029221E"/>
    <w:rsid w:val="003842F2"/>
    <w:rsid w:val="004B1F67"/>
    <w:rsid w:val="006357B9"/>
    <w:rsid w:val="006A647B"/>
    <w:rsid w:val="006B5312"/>
    <w:rsid w:val="00A135D3"/>
    <w:rsid w:val="00A248B7"/>
    <w:rsid w:val="00B215CE"/>
    <w:rsid w:val="00B33304"/>
    <w:rsid w:val="00B43C88"/>
    <w:rsid w:val="00B85544"/>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3238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2021-02-24T10:50:00Z</dcterms:created>
  <dcterms:modified xsi:type="dcterms:W3CDTF">2021-02-24T10:50:00Z</dcterms:modified>
</cp:coreProperties>
</file>