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9A" w:rsidRPr="00602303" w:rsidRDefault="004B439A" w:rsidP="004B439A">
      <w:pPr>
        <w:jc w:val="right"/>
        <w:rPr>
          <w:rFonts w:cs="David"/>
          <w:sz w:val="28"/>
          <w:szCs w:val="28"/>
          <w:rtl/>
        </w:rPr>
      </w:pPr>
      <w:r w:rsidRPr="00602303">
        <w:rPr>
          <w:rFonts w:cs="David" w:hint="cs"/>
          <w:sz w:val="28"/>
          <w:szCs w:val="28"/>
          <w:rtl/>
        </w:rPr>
        <w:t>בס"ד, אדר א' תשע"ט</w:t>
      </w:r>
    </w:p>
    <w:p w:rsidR="004B439A" w:rsidRPr="00602303" w:rsidRDefault="004B439A" w:rsidP="004B439A">
      <w:pPr>
        <w:jc w:val="right"/>
        <w:rPr>
          <w:rFonts w:cs="David"/>
          <w:rtl/>
        </w:rPr>
      </w:pPr>
    </w:p>
    <w:p w:rsidR="004B439A" w:rsidRPr="00602303" w:rsidRDefault="004B439A" w:rsidP="004B439A">
      <w:pPr>
        <w:jc w:val="right"/>
        <w:rPr>
          <w:rFonts w:cs="David"/>
          <w:rtl/>
        </w:rPr>
      </w:pPr>
    </w:p>
    <w:p w:rsidR="004B439A" w:rsidRPr="00602303" w:rsidRDefault="004B439A" w:rsidP="004B439A">
      <w:pPr>
        <w:jc w:val="right"/>
        <w:rPr>
          <w:rFonts w:cs="David"/>
          <w:b/>
          <w:bCs/>
          <w:sz w:val="36"/>
          <w:szCs w:val="36"/>
          <w:rtl/>
        </w:rPr>
      </w:pPr>
    </w:p>
    <w:p w:rsidR="004B439A" w:rsidRPr="00602303" w:rsidRDefault="004B439A" w:rsidP="0054299D">
      <w:pPr>
        <w:jc w:val="center"/>
        <w:rPr>
          <w:rFonts w:cs="David"/>
          <w:b/>
          <w:bCs/>
          <w:sz w:val="36"/>
          <w:szCs w:val="36"/>
          <w:rtl/>
        </w:rPr>
      </w:pPr>
      <w:r w:rsidRPr="00602303">
        <w:rPr>
          <w:rFonts w:cs="David" w:hint="cs"/>
          <w:b/>
          <w:bCs/>
          <w:sz w:val="36"/>
          <w:szCs w:val="36"/>
          <w:rtl/>
        </w:rPr>
        <w:t xml:space="preserve">פרשת </w:t>
      </w:r>
      <w:proofErr w:type="spellStart"/>
      <w:r w:rsidR="0054299D" w:rsidRPr="00602303">
        <w:rPr>
          <w:rFonts w:cs="David" w:hint="cs"/>
          <w:b/>
          <w:bCs/>
          <w:sz w:val="36"/>
          <w:szCs w:val="36"/>
          <w:rtl/>
        </w:rPr>
        <w:t>תצוה</w:t>
      </w:r>
      <w:proofErr w:type="spellEnd"/>
      <w:r w:rsidRPr="00602303">
        <w:rPr>
          <w:rFonts w:cs="David" w:hint="cs"/>
          <w:b/>
          <w:bCs/>
          <w:sz w:val="36"/>
          <w:szCs w:val="36"/>
          <w:rtl/>
        </w:rPr>
        <w:t xml:space="preserve"> </w:t>
      </w:r>
      <w:r w:rsidRPr="00602303">
        <w:rPr>
          <w:rFonts w:cs="David"/>
          <w:b/>
          <w:bCs/>
          <w:sz w:val="36"/>
          <w:szCs w:val="36"/>
          <w:rtl/>
        </w:rPr>
        <w:t>–</w:t>
      </w:r>
      <w:r w:rsidRPr="00602303">
        <w:rPr>
          <w:rFonts w:cs="David" w:hint="cs"/>
          <w:b/>
          <w:bCs/>
          <w:sz w:val="36"/>
          <w:szCs w:val="36"/>
          <w:rtl/>
        </w:rPr>
        <w:t xml:space="preserve"> שכתב הרב </w:t>
      </w:r>
      <w:r w:rsidR="0054299D" w:rsidRPr="00602303">
        <w:rPr>
          <w:rFonts w:cs="David" w:hint="cs"/>
          <w:b/>
          <w:bCs/>
          <w:sz w:val="36"/>
          <w:szCs w:val="36"/>
          <w:rtl/>
        </w:rPr>
        <w:t>דניאל ניקריטין</w:t>
      </w:r>
    </w:p>
    <w:p w:rsidR="007D38E6" w:rsidRPr="00602303" w:rsidRDefault="007D38E6" w:rsidP="004B439A">
      <w:pPr>
        <w:jc w:val="right"/>
        <w:rPr>
          <w:rFonts w:cs="David"/>
        </w:rPr>
      </w:pPr>
    </w:p>
    <w:p w:rsidR="0054299D" w:rsidRPr="00602303" w:rsidRDefault="0054299D" w:rsidP="0054299D">
      <w:pPr>
        <w:jc w:val="right"/>
        <w:rPr>
          <w:rFonts w:cs="David"/>
          <w:rtl/>
        </w:rPr>
      </w:pPr>
    </w:p>
    <w:p w:rsidR="0054299D" w:rsidRPr="00602303" w:rsidRDefault="0054299D" w:rsidP="0054299D">
      <w:pPr>
        <w:jc w:val="right"/>
        <w:rPr>
          <w:rFonts w:cs="David"/>
          <w:rtl/>
        </w:rPr>
      </w:pPr>
    </w:p>
    <w:p w:rsidR="0054299D" w:rsidRPr="00602303" w:rsidRDefault="0054299D" w:rsidP="00602303">
      <w:pPr>
        <w:spacing w:line="360" w:lineRule="auto"/>
        <w:jc w:val="right"/>
        <w:rPr>
          <w:rFonts w:cs="David"/>
          <w:rtl/>
        </w:rPr>
      </w:pPr>
      <w:r w:rsidRPr="00602303">
        <w:rPr>
          <w:rFonts w:cs="David" w:hint="cs"/>
          <w:rtl/>
        </w:rPr>
        <w:t xml:space="preserve">מעטים הם הפסוקים בתורה, המתארים בפנינו </w:t>
      </w:r>
      <w:r w:rsidRPr="00602303">
        <w:rPr>
          <w:rFonts w:cs="David" w:hint="cs"/>
          <w:b/>
          <w:bCs/>
          <w:rtl/>
        </w:rPr>
        <w:t>רגשות</w:t>
      </w:r>
      <w:r w:rsidRPr="00602303">
        <w:rPr>
          <w:rFonts w:cs="David" w:hint="cs"/>
          <w:rtl/>
        </w:rPr>
        <w:t xml:space="preserve">. על פי רוב, התורה מותירה לנו להשלים את הפערים, בפרשנות ובהזדהות עם הכתוב </w:t>
      </w:r>
      <w:r w:rsidRPr="00602303">
        <w:rPr>
          <w:rFonts w:cs="David"/>
          <w:rtl/>
        </w:rPr>
        <w:t>–</w:t>
      </w:r>
      <w:r w:rsidRPr="00602303">
        <w:rPr>
          <w:rFonts w:cs="David" w:hint="cs"/>
          <w:rtl/>
        </w:rPr>
        <w:t xml:space="preserve"> כדי לנסות ולהתחקות אחר הרגשות שליוו אירועים כה משמעותיים כמו עקידת יצחק, מכות מצרים ועוד.</w:t>
      </w:r>
    </w:p>
    <w:p w:rsidR="0054299D" w:rsidRPr="00602303" w:rsidRDefault="0054299D" w:rsidP="00602303">
      <w:pPr>
        <w:spacing w:line="360" w:lineRule="auto"/>
        <w:jc w:val="right"/>
        <w:rPr>
          <w:rFonts w:cs="David"/>
          <w:rtl/>
        </w:rPr>
      </w:pPr>
      <w:r w:rsidRPr="00602303">
        <w:rPr>
          <w:rFonts w:cs="David" w:hint="cs"/>
          <w:rtl/>
        </w:rPr>
        <w:t xml:space="preserve">אחד הפסוקים הנדירים, </w:t>
      </w:r>
      <w:proofErr w:type="spellStart"/>
      <w:r w:rsidRPr="00602303">
        <w:rPr>
          <w:rFonts w:cs="David" w:hint="cs"/>
          <w:rtl/>
        </w:rPr>
        <w:t>המנגיש</w:t>
      </w:r>
      <w:proofErr w:type="spellEnd"/>
      <w:r w:rsidRPr="00602303">
        <w:rPr>
          <w:rFonts w:cs="David" w:hint="cs"/>
          <w:rtl/>
        </w:rPr>
        <w:t xml:space="preserve"> לנו את הרגשות מאחורי האירועים, מופיע בסוף פרשת 'חיי שרה', בה מתוארת כניסתה של רבקה למשפחת אברהם כאשת-יצחק: </w:t>
      </w:r>
    </w:p>
    <w:p w:rsidR="0054299D" w:rsidRPr="00602303" w:rsidRDefault="0054299D" w:rsidP="00602303">
      <w:pPr>
        <w:spacing w:line="360" w:lineRule="auto"/>
        <w:jc w:val="right"/>
        <w:rPr>
          <w:rFonts w:ascii="David" w:hAnsi="David" w:cs="David"/>
          <w:color w:val="222222"/>
          <w:sz w:val="16"/>
          <w:szCs w:val="16"/>
          <w:shd w:val="clear" w:color="auto" w:fill="FFFFFF"/>
          <w:rtl/>
        </w:rPr>
      </w:pPr>
      <w:r w:rsidRPr="00602303">
        <w:rPr>
          <w:rFonts w:ascii="David" w:hAnsi="David" w:cs="David" w:hint="cs"/>
          <w:color w:val="222222"/>
          <w:sz w:val="28"/>
          <w:szCs w:val="28"/>
          <w:shd w:val="clear" w:color="auto" w:fill="FFFFFF"/>
          <w:rtl/>
        </w:rPr>
        <w:t>"</w:t>
      </w:r>
      <w:r w:rsidRPr="00602303">
        <w:rPr>
          <w:rFonts w:ascii="David" w:hAnsi="David" w:cs="David"/>
          <w:color w:val="222222"/>
          <w:sz w:val="28"/>
          <w:szCs w:val="28"/>
          <w:shd w:val="clear" w:color="auto" w:fill="FFFFFF"/>
          <w:rtl/>
        </w:rPr>
        <w:t xml:space="preserve">ויבאה יצחק האהלה שרה אמו </w:t>
      </w:r>
      <w:proofErr w:type="spellStart"/>
      <w:r w:rsidRPr="00602303">
        <w:rPr>
          <w:rFonts w:ascii="David" w:hAnsi="David" w:cs="David"/>
          <w:color w:val="222222"/>
          <w:sz w:val="28"/>
          <w:szCs w:val="28"/>
          <w:shd w:val="clear" w:color="auto" w:fill="FFFFFF"/>
          <w:rtl/>
        </w:rPr>
        <w:t>ויקח</w:t>
      </w:r>
      <w:proofErr w:type="spellEnd"/>
      <w:r w:rsidRPr="00602303">
        <w:rPr>
          <w:rFonts w:ascii="David" w:hAnsi="David" w:cs="David"/>
          <w:color w:val="222222"/>
          <w:sz w:val="28"/>
          <w:szCs w:val="28"/>
          <w:shd w:val="clear" w:color="auto" w:fill="FFFFFF"/>
          <w:rtl/>
        </w:rPr>
        <w:t xml:space="preserve"> את רבקה ותהי לו לאשה </w:t>
      </w:r>
      <w:r w:rsidRPr="00602303">
        <w:rPr>
          <w:rFonts w:ascii="David" w:hAnsi="David" w:cs="David"/>
          <w:color w:val="222222"/>
          <w:sz w:val="28"/>
          <w:szCs w:val="28"/>
          <w:u w:val="single"/>
          <w:shd w:val="clear" w:color="auto" w:fill="FFFFFF"/>
          <w:rtl/>
        </w:rPr>
        <w:t>ויאהבה</w:t>
      </w:r>
      <w:r w:rsidRPr="00602303">
        <w:rPr>
          <w:rFonts w:ascii="David" w:hAnsi="David" w:cs="David"/>
          <w:color w:val="222222"/>
          <w:sz w:val="28"/>
          <w:szCs w:val="28"/>
          <w:shd w:val="clear" w:color="auto" w:fill="FFFFFF"/>
          <w:rtl/>
        </w:rPr>
        <w:t xml:space="preserve"> </w:t>
      </w:r>
      <w:r w:rsidRPr="00602303">
        <w:rPr>
          <w:rFonts w:ascii="David" w:hAnsi="David" w:cs="David"/>
          <w:color w:val="222222"/>
          <w:sz w:val="28"/>
          <w:szCs w:val="28"/>
          <w:u w:val="single"/>
          <w:shd w:val="clear" w:color="auto" w:fill="FFFFFF"/>
          <w:rtl/>
        </w:rPr>
        <w:t>וינחם</w:t>
      </w:r>
      <w:r w:rsidRPr="00602303">
        <w:rPr>
          <w:rFonts w:ascii="David" w:hAnsi="David" w:cs="David"/>
          <w:color w:val="222222"/>
          <w:sz w:val="28"/>
          <w:szCs w:val="28"/>
          <w:shd w:val="clear" w:color="auto" w:fill="FFFFFF"/>
          <w:rtl/>
        </w:rPr>
        <w:t xml:space="preserve"> יצחק אחרי אמו</w:t>
      </w:r>
      <w:r w:rsidRPr="00602303">
        <w:rPr>
          <w:rFonts w:ascii="David" w:hAnsi="David" w:cs="David" w:hint="cs"/>
          <w:color w:val="222222"/>
          <w:sz w:val="28"/>
          <w:szCs w:val="28"/>
          <w:shd w:val="clear" w:color="auto" w:fill="FFFFFF"/>
          <w:rtl/>
        </w:rPr>
        <w:t xml:space="preserve">" </w:t>
      </w:r>
      <w:r w:rsidRPr="00602303">
        <w:rPr>
          <w:rFonts w:ascii="David" w:hAnsi="David" w:cs="David" w:hint="cs"/>
          <w:color w:val="222222"/>
          <w:sz w:val="16"/>
          <w:szCs w:val="16"/>
          <w:shd w:val="clear" w:color="auto" w:fill="FFFFFF"/>
          <w:rtl/>
        </w:rPr>
        <w:t xml:space="preserve">(בראשית, כד, </w:t>
      </w:r>
      <w:proofErr w:type="spellStart"/>
      <w:r w:rsidRPr="00602303">
        <w:rPr>
          <w:rFonts w:ascii="David" w:hAnsi="David" w:cs="David" w:hint="cs"/>
          <w:color w:val="222222"/>
          <w:sz w:val="16"/>
          <w:szCs w:val="16"/>
          <w:shd w:val="clear" w:color="auto" w:fill="FFFFFF"/>
          <w:rtl/>
        </w:rPr>
        <w:t>סז</w:t>
      </w:r>
      <w:proofErr w:type="spellEnd"/>
      <w:r w:rsidRPr="00602303">
        <w:rPr>
          <w:rFonts w:ascii="David" w:hAnsi="David" w:cs="David" w:hint="cs"/>
          <w:color w:val="222222"/>
          <w:sz w:val="16"/>
          <w:szCs w:val="16"/>
          <w:shd w:val="clear" w:color="auto" w:fill="FFFFFF"/>
          <w:rtl/>
        </w:rPr>
        <w:t>)</w:t>
      </w:r>
    </w:p>
    <w:p w:rsidR="0054299D" w:rsidRPr="00602303" w:rsidRDefault="0054299D" w:rsidP="0054299D">
      <w:pPr>
        <w:jc w:val="right"/>
        <w:rPr>
          <w:rFonts w:cs="David"/>
          <w:sz w:val="16"/>
          <w:szCs w:val="16"/>
          <w:rtl/>
        </w:rPr>
      </w:pPr>
    </w:p>
    <w:p w:rsidR="0054299D" w:rsidRPr="00602303" w:rsidRDefault="0054299D" w:rsidP="00602303">
      <w:pPr>
        <w:spacing w:line="360" w:lineRule="auto"/>
        <w:jc w:val="right"/>
        <w:rPr>
          <w:rFonts w:cs="David"/>
          <w:rtl/>
        </w:rPr>
      </w:pPr>
      <w:r w:rsidRPr="00602303">
        <w:rPr>
          <w:rFonts w:cs="David" w:hint="cs"/>
          <w:rtl/>
        </w:rPr>
        <w:t>בכניסתה של רבקה לאהל שרה, מוצא יצחק אהבה, ונחמה.</w:t>
      </w:r>
    </w:p>
    <w:p w:rsidR="0054299D" w:rsidRPr="00602303" w:rsidRDefault="0054299D" w:rsidP="00602303">
      <w:pPr>
        <w:spacing w:line="360" w:lineRule="auto"/>
        <w:jc w:val="right"/>
        <w:rPr>
          <w:rFonts w:cs="David"/>
          <w:rtl/>
        </w:rPr>
      </w:pPr>
      <w:r w:rsidRPr="00602303">
        <w:rPr>
          <w:rFonts w:cs="David" w:hint="cs"/>
          <w:rtl/>
        </w:rPr>
        <w:t xml:space="preserve">וידועים דברי המדרש, המובאים גם ברש"י: </w:t>
      </w:r>
    </w:p>
    <w:p w:rsidR="0054299D" w:rsidRPr="00602303" w:rsidRDefault="0054299D" w:rsidP="00602303">
      <w:pPr>
        <w:spacing w:line="360" w:lineRule="auto"/>
        <w:jc w:val="right"/>
        <w:rPr>
          <w:rFonts w:ascii="David" w:hAnsi="David" w:cs="David"/>
          <w:color w:val="222222"/>
          <w:sz w:val="28"/>
          <w:szCs w:val="28"/>
          <w:shd w:val="clear" w:color="auto" w:fill="FFFFFF"/>
          <w:rtl/>
        </w:rPr>
      </w:pPr>
      <w:r w:rsidRPr="00602303">
        <w:rPr>
          <w:rFonts w:ascii="David" w:hAnsi="David" w:cs="David"/>
          <w:color w:val="222222"/>
          <w:sz w:val="28"/>
          <w:szCs w:val="28"/>
          <w:shd w:val="clear" w:color="auto" w:fill="FFFFFF"/>
          <w:rtl/>
        </w:rPr>
        <w:t>ויביאה האהלה והרי היא שרה אמו</w:t>
      </w:r>
      <w:r w:rsidRPr="00602303">
        <w:rPr>
          <w:rFonts w:ascii="David" w:hAnsi="David" w:cs="David" w:hint="cs"/>
          <w:color w:val="222222"/>
          <w:sz w:val="28"/>
          <w:szCs w:val="28"/>
          <w:shd w:val="clear" w:color="auto" w:fill="FFFFFF"/>
          <w:rtl/>
        </w:rPr>
        <w:t>,</w:t>
      </w:r>
    </w:p>
    <w:p w:rsidR="0054299D" w:rsidRPr="00602303" w:rsidRDefault="0054299D" w:rsidP="00602303">
      <w:pPr>
        <w:spacing w:line="360" w:lineRule="auto"/>
        <w:jc w:val="right"/>
        <w:rPr>
          <w:rFonts w:ascii="David" w:hAnsi="David" w:cs="David"/>
          <w:color w:val="222222"/>
          <w:sz w:val="28"/>
          <w:szCs w:val="28"/>
          <w:shd w:val="clear" w:color="auto" w:fill="FFFFFF"/>
          <w:rtl/>
        </w:rPr>
      </w:pPr>
      <w:r w:rsidRPr="00602303">
        <w:rPr>
          <w:rFonts w:ascii="David" w:hAnsi="David" w:cs="David"/>
          <w:color w:val="222222"/>
          <w:sz w:val="28"/>
          <w:szCs w:val="28"/>
          <w:shd w:val="clear" w:color="auto" w:fill="FFFFFF"/>
          <w:rtl/>
        </w:rPr>
        <w:t xml:space="preserve"> כלומר ונעשית דוגמת שרה אמו</w:t>
      </w:r>
      <w:r w:rsidRPr="00602303">
        <w:rPr>
          <w:rFonts w:ascii="David" w:hAnsi="David" w:cs="David" w:hint="cs"/>
          <w:color w:val="222222"/>
          <w:sz w:val="28"/>
          <w:szCs w:val="28"/>
          <w:shd w:val="clear" w:color="auto" w:fill="FFFFFF"/>
          <w:rtl/>
        </w:rPr>
        <w:t>:</w:t>
      </w:r>
    </w:p>
    <w:p w:rsidR="0054299D" w:rsidRPr="00602303" w:rsidRDefault="0054299D" w:rsidP="00602303">
      <w:pPr>
        <w:spacing w:line="360" w:lineRule="auto"/>
        <w:jc w:val="right"/>
        <w:rPr>
          <w:rFonts w:cs="David"/>
          <w:sz w:val="22"/>
          <w:szCs w:val="22"/>
          <w:rtl/>
        </w:rPr>
      </w:pPr>
      <w:r w:rsidRPr="00602303">
        <w:rPr>
          <w:rFonts w:ascii="David" w:hAnsi="David" w:cs="David"/>
          <w:color w:val="222222"/>
          <w:sz w:val="28"/>
          <w:szCs w:val="28"/>
          <w:shd w:val="clear" w:color="auto" w:fill="FFFFFF"/>
          <w:rtl/>
        </w:rPr>
        <w:t>שכל זמן ששרה קיימת היה נר דלוק מע"ש לערב</w:t>
      </w:r>
      <w:r w:rsidRPr="00602303">
        <w:rPr>
          <w:rFonts w:ascii="Arial" w:hAnsi="Arial" w:cs="David"/>
          <w:color w:val="222222"/>
          <w:sz w:val="19"/>
          <w:szCs w:val="19"/>
          <w:shd w:val="clear" w:color="auto" w:fill="FFFFFF"/>
          <w:rtl/>
        </w:rPr>
        <w:t xml:space="preserve"> </w:t>
      </w:r>
      <w:r w:rsidRPr="00602303">
        <w:rPr>
          <w:rFonts w:ascii="David" w:hAnsi="David" w:cs="David"/>
          <w:color w:val="222222"/>
          <w:sz w:val="28"/>
          <w:szCs w:val="28"/>
          <w:shd w:val="clear" w:color="auto" w:fill="FFFFFF"/>
          <w:rtl/>
        </w:rPr>
        <w:t>שבת</w:t>
      </w:r>
      <w:r w:rsidRPr="00602303">
        <w:rPr>
          <w:rFonts w:ascii="David" w:hAnsi="David" w:cs="David" w:hint="cs"/>
          <w:color w:val="222222"/>
          <w:sz w:val="28"/>
          <w:szCs w:val="28"/>
          <w:shd w:val="clear" w:color="auto" w:fill="FFFFFF"/>
          <w:rtl/>
        </w:rPr>
        <w:t>,</w:t>
      </w:r>
      <w:r w:rsidRPr="00602303">
        <w:rPr>
          <w:rFonts w:ascii="David" w:hAnsi="David" w:cs="David"/>
          <w:color w:val="222222"/>
          <w:sz w:val="28"/>
          <w:szCs w:val="28"/>
          <w:shd w:val="clear" w:color="auto" w:fill="FFFFFF"/>
          <w:rtl/>
        </w:rPr>
        <w:t xml:space="preserve"> וברכה מצויה בעיסה</w:t>
      </w:r>
      <w:r w:rsidRPr="00602303">
        <w:rPr>
          <w:rFonts w:ascii="David" w:hAnsi="David" w:cs="David" w:hint="cs"/>
          <w:color w:val="222222"/>
          <w:sz w:val="28"/>
          <w:szCs w:val="28"/>
          <w:shd w:val="clear" w:color="auto" w:fill="FFFFFF"/>
          <w:rtl/>
        </w:rPr>
        <w:t>,</w:t>
      </w:r>
      <w:r w:rsidRPr="00602303">
        <w:rPr>
          <w:rFonts w:ascii="David" w:hAnsi="David" w:cs="David"/>
          <w:color w:val="222222"/>
          <w:sz w:val="28"/>
          <w:szCs w:val="28"/>
          <w:shd w:val="clear" w:color="auto" w:fill="FFFFFF"/>
          <w:rtl/>
        </w:rPr>
        <w:t xml:space="preserve"> וענן קשור על האהל</w:t>
      </w:r>
      <w:r w:rsidR="00602303">
        <w:rPr>
          <w:rFonts w:ascii="David" w:hAnsi="David" w:cs="David" w:hint="cs"/>
          <w:color w:val="222222"/>
          <w:sz w:val="28"/>
          <w:szCs w:val="28"/>
          <w:shd w:val="clear" w:color="auto" w:fill="FFFFFF"/>
          <w:rtl/>
        </w:rPr>
        <w:t xml:space="preserve"> </w:t>
      </w:r>
      <w:r w:rsidRPr="00602303">
        <w:rPr>
          <w:rFonts w:ascii="David" w:hAnsi="David" w:cs="David"/>
          <w:color w:val="222222"/>
          <w:sz w:val="28"/>
          <w:szCs w:val="28"/>
          <w:shd w:val="clear" w:color="auto" w:fill="FFFFFF"/>
          <w:rtl/>
        </w:rPr>
        <w:t>ומשמתה פסקו</w:t>
      </w:r>
      <w:r w:rsidRPr="00602303">
        <w:rPr>
          <w:rFonts w:ascii="David" w:hAnsi="David" w:cs="David" w:hint="cs"/>
          <w:color w:val="222222"/>
          <w:sz w:val="28"/>
          <w:szCs w:val="28"/>
          <w:shd w:val="clear" w:color="auto" w:fill="FFFFFF"/>
          <w:rtl/>
        </w:rPr>
        <w:t>,</w:t>
      </w:r>
      <w:r w:rsidRPr="00602303">
        <w:rPr>
          <w:rFonts w:ascii="David" w:hAnsi="David" w:cs="David"/>
          <w:color w:val="222222"/>
          <w:sz w:val="28"/>
          <w:szCs w:val="28"/>
          <w:shd w:val="clear" w:color="auto" w:fill="FFFFFF"/>
          <w:rtl/>
        </w:rPr>
        <w:t xml:space="preserve"> וכשבאת רבקה חזרו</w:t>
      </w:r>
      <w:r w:rsidRPr="00602303">
        <w:rPr>
          <w:rFonts w:ascii="Arial" w:hAnsi="Arial" w:cs="David"/>
          <w:color w:val="222222"/>
          <w:sz w:val="19"/>
          <w:szCs w:val="19"/>
          <w:shd w:val="clear" w:color="auto" w:fill="FFFFFF"/>
          <w:rtl/>
        </w:rPr>
        <w:t> </w:t>
      </w:r>
    </w:p>
    <w:p w:rsidR="0054299D" w:rsidRPr="00602303" w:rsidRDefault="0054299D" w:rsidP="00602303">
      <w:pPr>
        <w:spacing w:line="360" w:lineRule="auto"/>
        <w:jc w:val="right"/>
        <w:rPr>
          <w:rFonts w:cs="David"/>
          <w:rtl/>
        </w:rPr>
      </w:pPr>
    </w:p>
    <w:p w:rsidR="0054299D" w:rsidRPr="00602303" w:rsidRDefault="0054299D" w:rsidP="00602303">
      <w:pPr>
        <w:spacing w:line="360" w:lineRule="auto"/>
        <w:jc w:val="right"/>
        <w:rPr>
          <w:rFonts w:cs="David"/>
          <w:rtl/>
        </w:rPr>
      </w:pPr>
      <w:r w:rsidRPr="00602303">
        <w:rPr>
          <w:rFonts w:cs="David" w:hint="cs"/>
          <w:rtl/>
        </w:rPr>
        <w:t xml:space="preserve">עם מותה של שרה, פסק הבית מלהאיר בנר דולק, הברכה שוב לא שרתה בעיסה והענן לא היה קשור על האוהל. בואה של רבקה, משיב כל אלה אל תוך </w:t>
      </w:r>
      <w:proofErr w:type="spellStart"/>
      <w:r w:rsidRPr="00602303">
        <w:rPr>
          <w:rFonts w:cs="David" w:hint="cs"/>
          <w:rtl/>
        </w:rPr>
        <w:t>אהליהם</w:t>
      </w:r>
      <w:proofErr w:type="spellEnd"/>
      <w:r w:rsidRPr="00602303">
        <w:rPr>
          <w:rFonts w:cs="David" w:hint="cs"/>
          <w:rtl/>
        </w:rPr>
        <w:t xml:space="preserve"> של אברהם, ויצחק בנו. </w:t>
      </w:r>
    </w:p>
    <w:p w:rsidR="0054299D" w:rsidRPr="00602303" w:rsidRDefault="0054299D" w:rsidP="00602303">
      <w:pPr>
        <w:spacing w:line="360" w:lineRule="auto"/>
        <w:jc w:val="right"/>
        <w:rPr>
          <w:rFonts w:cs="David"/>
          <w:rtl/>
        </w:rPr>
      </w:pPr>
      <w:r w:rsidRPr="00602303">
        <w:rPr>
          <w:rFonts w:cs="David" w:hint="cs"/>
          <w:rtl/>
        </w:rPr>
        <w:t xml:space="preserve">מעניין להתבונן, מהו ה'ענן' הקשור על האוהל? מה משמעותו? שהרי ברכה בפת ונר דלוק </w:t>
      </w:r>
      <w:r w:rsidRPr="00602303">
        <w:rPr>
          <w:rFonts w:cs="David"/>
          <w:rtl/>
        </w:rPr>
        <w:t>–</w:t>
      </w:r>
      <w:r w:rsidRPr="00602303">
        <w:rPr>
          <w:rFonts w:cs="David" w:hint="cs"/>
          <w:rtl/>
        </w:rPr>
        <w:t xml:space="preserve"> משמעותם נהירה ותרומתם לשלום הבית, ולחוויית הבית מוכרת לכולנו עד היום. </w:t>
      </w:r>
    </w:p>
    <w:p w:rsidR="0054299D" w:rsidRPr="00602303" w:rsidRDefault="0054299D" w:rsidP="00602303">
      <w:pPr>
        <w:spacing w:line="360" w:lineRule="auto"/>
        <w:jc w:val="right"/>
        <w:rPr>
          <w:rFonts w:cs="David"/>
          <w:rtl/>
        </w:rPr>
      </w:pPr>
      <w:r w:rsidRPr="00602303">
        <w:rPr>
          <w:rFonts w:cs="David" w:hint="cs"/>
          <w:rtl/>
        </w:rPr>
        <w:t>ה'ענן' מלווה אותנו לאורך הזדמנויות רבות במדבר: בעמוד הענן ההולך לפני המחנה, במעמד הר סיני ש'עשן כולו', אך אין ספק, כי התלכדותם של שלושת הסמלים:</w:t>
      </w:r>
      <w:r w:rsidRPr="00602303">
        <w:rPr>
          <w:rFonts w:cs="David" w:hint="cs"/>
        </w:rPr>
        <w:t xml:space="preserve"> </w:t>
      </w:r>
      <w:r w:rsidRPr="00602303">
        <w:rPr>
          <w:rFonts w:cs="David" w:hint="cs"/>
          <w:b/>
          <w:bCs/>
          <w:rtl/>
        </w:rPr>
        <w:t>הנר, הפת והענן</w:t>
      </w:r>
      <w:r w:rsidRPr="00602303">
        <w:rPr>
          <w:rFonts w:cs="David" w:hint="cs"/>
          <w:rtl/>
        </w:rPr>
        <w:t xml:space="preserve">, מחברת אותנו אל המשכן והמקדש, המכילים בתוכם את </w:t>
      </w:r>
      <w:r w:rsidRPr="00602303">
        <w:rPr>
          <w:rFonts w:cs="David" w:hint="cs"/>
          <w:b/>
          <w:bCs/>
          <w:rtl/>
        </w:rPr>
        <w:t>מנורת המאור, שולחן לחם הפנים ומזבח הקטורת</w:t>
      </w:r>
      <w:r w:rsidRPr="00602303">
        <w:rPr>
          <w:rFonts w:cs="David" w:hint="cs"/>
          <w:rtl/>
        </w:rPr>
        <w:t xml:space="preserve">. אם כן, ניתן להתחקות אחר עניינו של ה'ענן' בבית שרה, מענן הקטורת בקודש. </w:t>
      </w:r>
    </w:p>
    <w:p w:rsidR="0054299D" w:rsidRPr="00602303" w:rsidRDefault="0054299D" w:rsidP="00602303">
      <w:pPr>
        <w:spacing w:line="360" w:lineRule="auto"/>
        <w:jc w:val="right"/>
        <w:rPr>
          <w:rFonts w:cs="David"/>
          <w:rtl/>
        </w:rPr>
      </w:pPr>
      <w:r w:rsidRPr="00602303">
        <w:rPr>
          <w:rFonts w:cs="David" w:hint="cs"/>
          <w:rtl/>
        </w:rPr>
        <w:t>אחת התמיהות הידועות לגבי פרשת 'תצווה', נוגעת למיקום שבו מופיעה מצוות מזבח הקטורת: המזבח אינו נמנה על סדר ציווי בניית הכלים בפרשת תרומה, אלא לאחר כמה פסוקי חתימה בסוף הפרשה, כאשר הרושם הוא שכבר הושלמה מצוות כלי המשכן, ואפילו מצוות מזבח העולה העומד מחוץ למשכן כבר נאמרה לעיל.</w:t>
      </w:r>
    </w:p>
    <w:p w:rsidR="0054299D" w:rsidRPr="00602303" w:rsidRDefault="0054299D" w:rsidP="00602303">
      <w:pPr>
        <w:spacing w:line="360" w:lineRule="auto"/>
        <w:jc w:val="right"/>
        <w:rPr>
          <w:rFonts w:cs="David"/>
          <w:rtl/>
        </w:rPr>
      </w:pPr>
      <w:r w:rsidRPr="00602303">
        <w:rPr>
          <w:rFonts w:cs="David" w:hint="cs"/>
          <w:rtl/>
        </w:rPr>
        <w:lastRenderedPageBreak/>
        <w:t>הרב אלחנן סמ</w:t>
      </w:r>
      <w:bookmarkStart w:id="0" w:name="_GoBack"/>
      <w:bookmarkEnd w:id="0"/>
      <w:r w:rsidRPr="00602303">
        <w:rPr>
          <w:rFonts w:cs="David" w:hint="cs"/>
          <w:rtl/>
        </w:rPr>
        <w:t>ט, בעיוני פרשת השבוע שלו (הסדרה השנייה)</w:t>
      </w:r>
      <w:r w:rsidRPr="00602303">
        <w:rPr>
          <w:rFonts w:cs="David"/>
          <w:rtl/>
        </w:rPr>
        <w:t>–</w:t>
      </w:r>
      <w:r w:rsidRPr="00602303">
        <w:rPr>
          <w:rFonts w:cs="David" w:hint="cs"/>
          <w:rtl/>
        </w:rPr>
        <w:t xml:space="preserve"> מעלה תובנה מחדשת ועמוקה. לעומת שאר כלי הקודש, שתכליתם היא </w:t>
      </w:r>
      <w:r w:rsidRPr="00602303">
        <w:rPr>
          <w:rFonts w:cs="David" w:hint="cs"/>
          <w:u w:val="single"/>
          <w:rtl/>
        </w:rPr>
        <w:t>השירות</w:t>
      </w:r>
      <w:r w:rsidRPr="00602303">
        <w:rPr>
          <w:rFonts w:cs="David" w:hint="cs"/>
          <w:rtl/>
        </w:rPr>
        <w:t xml:space="preserve"> לפני ה', העבודה, תכליתו של מזבח הקטורת </w:t>
      </w:r>
      <w:r w:rsidRPr="00602303">
        <w:rPr>
          <w:rFonts w:cs="David"/>
          <w:rtl/>
        </w:rPr>
        <w:t>–</w:t>
      </w:r>
      <w:r w:rsidRPr="00602303">
        <w:rPr>
          <w:rFonts w:cs="David" w:hint="cs"/>
          <w:rtl/>
        </w:rPr>
        <w:t xml:space="preserve"> להעלות ענן, כדי </w:t>
      </w:r>
      <w:r w:rsidRPr="00602303">
        <w:rPr>
          <w:rFonts w:cs="David" w:hint="cs"/>
          <w:u w:val="single"/>
          <w:rtl/>
        </w:rPr>
        <w:t>לאפשר את ההיוועדות</w:t>
      </w:r>
      <w:r w:rsidRPr="00602303">
        <w:rPr>
          <w:rFonts w:cs="David" w:hint="cs"/>
          <w:rtl/>
        </w:rPr>
        <w:t xml:space="preserve"> עם ה':</w:t>
      </w:r>
      <w:r w:rsidRPr="00602303">
        <w:rPr>
          <w:rFonts w:cs="David" w:hint="cs"/>
        </w:rPr>
        <w:t xml:space="preserve"> </w:t>
      </w:r>
      <w:r w:rsidRPr="00602303">
        <w:rPr>
          <w:rFonts w:cs="David" w:hint="cs"/>
          <w:rtl/>
        </w:rPr>
        <w:t>"כי בענן אראה על הכפורת".  זו אינה עבודה, זהו מיסוך המאפשר מפגש.</w:t>
      </w:r>
    </w:p>
    <w:p w:rsidR="0054299D" w:rsidRPr="00602303" w:rsidRDefault="0054299D" w:rsidP="00602303">
      <w:pPr>
        <w:spacing w:line="360" w:lineRule="auto"/>
        <w:jc w:val="right"/>
        <w:rPr>
          <w:rFonts w:cs="David"/>
          <w:rtl/>
        </w:rPr>
      </w:pPr>
      <w:r w:rsidRPr="00602303">
        <w:rPr>
          <w:rFonts w:cs="David" w:hint="cs"/>
          <w:rtl/>
        </w:rPr>
        <w:t xml:space="preserve">הענן, אם כן, מאפשר מפגש בכך שהוא מתיר קירבה, אך מותיר גם סוד ומרחק. </w:t>
      </w:r>
      <w:r w:rsidRPr="00602303">
        <w:rPr>
          <w:rFonts w:cs="David" w:hint="cs"/>
          <w:i/>
          <w:iCs/>
          <w:rtl/>
        </w:rPr>
        <w:t>דברים אלה נכתבים בשבוע שבו נישאת בתי טל, ולכבודה (ולכבוד מתן אישהּ)</w:t>
      </w:r>
      <w:r w:rsidRPr="00602303">
        <w:rPr>
          <w:rFonts w:cs="David" w:hint="cs"/>
          <w:rtl/>
        </w:rPr>
        <w:t xml:space="preserve">. כאשר אנו בונים בית, אנו עמלים על הפת, והמאור </w:t>
      </w:r>
      <w:r w:rsidRPr="00602303">
        <w:rPr>
          <w:rFonts w:cs="David"/>
          <w:rtl/>
        </w:rPr>
        <w:t>–</w:t>
      </w:r>
      <w:r w:rsidRPr="00602303">
        <w:rPr>
          <w:rFonts w:cs="David" w:hint="cs"/>
          <w:rtl/>
        </w:rPr>
        <w:t xml:space="preserve"> אך מעבר לכך, האמנות הגדולה של בניית הבית, מחייבת גם בניית מרחב למפגש. מרחב כזה מתחולל באיזון העדין שבין ה'חוץ' </w:t>
      </w:r>
      <w:proofErr w:type="spellStart"/>
      <w:r w:rsidRPr="00602303">
        <w:rPr>
          <w:rFonts w:cs="David" w:hint="cs"/>
          <w:rtl/>
        </w:rPr>
        <w:t>וה'פנים</w:t>
      </w:r>
      <w:proofErr w:type="spellEnd"/>
      <w:r w:rsidRPr="00602303">
        <w:rPr>
          <w:rFonts w:cs="David" w:hint="cs"/>
          <w:rtl/>
        </w:rPr>
        <w:t xml:space="preserve">', בין ההיראות לבין השמירה על מיסוך, ידיעה שכל מפגש הוא עוד רק צעד בדרך אינסופית לקראת האחר. </w:t>
      </w:r>
    </w:p>
    <w:p w:rsidR="0054299D" w:rsidRPr="00602303" w:rsidRDefault="0054299D" w:rsidP="00602303">
      <w:pPr>
        <w:spacing w:line="360" w:lineRule="auto"/>
        <w:jc w:val="right"/>
        <w:rPr>
          <w:rFonts w:cs="David"/>
          <w:rtl/>
        </w:rPr>
      </w:pPr>
      <w:r w:rsidRPr="00602303">
        <w:rPr>
          <w:rFonts w:cs="David" w:hint="cs"/>
          <w:rtl/>
        </w:rPr>
        <w:t>נאחל לכם, ולכולנו, בתים של אור, של ברכה השרויה במעשי ידינו, בענן של התגלות ובמרחב של קירבה ומפגש.</w:t>
      </w:r>
    </w:p>
    <w:p w:rsidR="0054299D" w:rsidRPr="00602303" w:rsidRDefault="0054299D" w:rsidP="004B439A">
      <w:pPr>
        <w:jc w:val="right"/>
        <w:rPr>
          <w:rFonts w:cs="David"/>
        </w:rPr>
      </w:pPr>
    </w:p>
    <w:sectPr w:rsidR="0054299D" w:rsidRPr="00602303"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4B439A"/>
    <w:rsid w:val="0054299D"/>
    <w:rsid w:val="005569B6"/>
    <w:rsid w:val="00602303"/>
    <w:rsid w:val="006D154F"/>
    <w:rsid w:val="007D38E6"/>
    <w:rsid w:val="008B6FD0"/>
    <w:rsid w:val="00D76D85"/>
    <w:rsid w:val="00E06017"/>
    <w:rsid w:val="00F077EB"/>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53C96E-A0B3-48D7-BC25-94C58AB4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EB"/>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bidi/>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bidi/>
    </w:pPr>
    <w:rPr>
      <w:rFonts w:asciiTheme="minorHAnsi" w:hAnsiTheme="minorHAnsi" w:cstheme="minorBidi"/>
      <w:sz w:val="22"/>
      <w:szCs w:val="22"/>
    </w:rPr>
  </w:style>
  <w:style w:type="character" w:customStyle="1" w:styleId="a8">
    <w:name w:val="כותרת תחתונה תו"/>
    <w:basedOn w:val="a0"/>
    <w:link w:val="a7"/>
    <w:uiPriority w:val="99"/>
    <w:rsid w:val="000E21A0"/>
  </w:style>
  <w:style w:type="paragraph" w:customStyle="1" w:styleId="gmail-normal1">
    <w:name w:val="gmail-normal1"/>
    <w:basedOn w:val="a"/>
    <w:rsid w:val="00F07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2025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Haggit Armon</cp:lastModifiedBy>
  <cp:revision>3</cp:revision>
  <cp:lastPrinted>2018-02-06T09:41:00Z</cp:lastPrinted>
  <dcterms:created xsi:type="dcterms:W3CDTF">2019-02-06T10:07:00Z</dcterms:created>
  <dcterms:modified xsi:type="dcterms:W3CDTF">2019-02-12T13:22:00Z</dcterms:modified>
</cp:coreProperties>
</file>