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59BAF76B" w:rsidR="00E108A1" w:rsidRPr="00535FAE" w:rsidRDefault="00E108A1" w:rsidP="00F853C0">
      <w:pPr>
        <w:pStyle w:val="1"/>
        <w:spacing w:line="240" w:lineRule="auto"/>
        <w:jc w:val="left"/>
        <w:rPr>
          <w:sz w:val="44"/>
          <w:szCs w:val="44"/>
          <w:rtl/>
        </w:rPr>
      </w:pPr>
      <w:r>
        <w:rPr>
          <w:rFonts w:hint="cs"/>
          <w:sz w:val="24"/>
          <w:szCs w:val="24"/>
          <w:rtl/>
        </w:rPr>
        <w:t xml:space="preserve">בס"ד, </w:t>
      </w:r>
      <w:r w:rsidR="00F853C0">
        <w:rPr>
          <w:rFonts w:hint="cs"/>
          <w:sz w:val="24"/>
          <w:szCs w:val="24"/>
          <w:rtl/>
        </w:rPr>
        <w:t xml:space="preserve">תמוז </w:t>
      </w:r>
      <w:r>
        <w:rPr>
          <w:rFonts w:hint="cs"/>
          <w:sz w:val="24"/>
          <w:szCs w:val="24"/>
          <w:rtl/>
        </w:rPr>
        <w:t>תשפ"א</w:t>
      </w:r>
    </w:p>
    <w:p w14:paraId="5B04554C" w14:textId="2107F824" w:rsidR="00CE3B82" w:rsidRPr="006F553F" w:rsidRDefault="00E108A1" w:rsidP="00372F53">
      <w:pPr>
        <w:spacing w:line="360" w:lineRule="auto"/>
        <w:jc w:val="center"/>
        <w:rPr>
          <w:rFonts w:ascii="David" w:hAnsi="David" w:cs="David"/>
          <w:b/>
          <w:bCs/>
          <w:sz w:val="40"/>
          <w:szCs w:val="40"/>
          <w:u w:val="single"/>
          <w:rtl/>
        </w:rPr>
      </w:pPr>
      <w:r w:rsidRPr="006F553F">
        <w:rPr>
          <w:rFonts w:ascii="David" w:hAnsi="David" w:cs="David" w:hint="cs"/>
          <w:b/>
          <w:bCs/>
          <w:sz w:val="40"/>
          <w:szCs w:val="40"/>
          <w:rtl/>
        </w:rPr>
        <w:t>ד</w:t>
      </w:r>
      <w:bookmarkStart w:id="0" w:name="_GoBack"/>
      <w:bookmarkEnd w:id="0"/>
      <w:r w:rsidRPr="006F553F">
        <w:rPr>
          <w:rFonts w:ascii="David" w:hAnsi="David" w:cs="David" w:hint="cs"/>
          <w:b/>
          <w:bCs/>
          <w:sz w:val="40"/>
          <w:szCs w:val="40"/>
          <w:rtl/>
        </w:rPr>
        <w:t xml:space="preserve">בר תורה לפרשת </w:t>
      </w:r>
      <w:proofErr w:type="spellStart"/>
      <w:r w:rsidR="00372F53">
        <w:rPr>
          <w:rFonts w:ascii="David" w:hAnsi="David" w:cs="David" w:hint="cs"/>
          <w:b/>
          <w:bCs/>
          <w:sz w:val="40"/>
          <w:szCs w:val="40"/>
          <w:rtl/>
        </w:rPr>
        <w:t>חקת</w:t>
      </w:r>
      <w:proofErr w:type="spellEnd"/>
      <w:r w:rsidR="006F553F" w:rsidRPr="006F553F">
        <w:rPr>
          <w:rFonts w:hint="cs"/>
          <w:sz w:val="40"/>
          <w:szCs w:val="40"/>
          <w:rtl/>
        </w:rPr>
        <w:t xml:space="preserve"> </w:t>
      </w:r>
      <w:r w:rsidRPr="006F553F">
        <w:rPr>
          <w:sz w:val="40"/>
          <w:szCs w:val="40"/>
          <w:rtl/>
        </w:rPr>
        <w:t>–</w:t>
      </w:r>
      <w:r w:rsidR="006F553F" w:rsidRPr="006F553F">
        <w:rPr>
          <w:rFonts w:ascii="David" w:hAnsi="David"/>
          <w:b/>
          <w:bCs/>
          <w:sz w:val="40"/>
          <w:szCs w:val="40"/>
          <w:rtl/>
        </w:rPr>
        <w:t xml:space="preserve"> </w:t>
      </w:r>
      <w:r w:rsidR="006F553F" w:rsidRPr="006F553F">
        <w:rPr>
          <w:rFonts w:ascii="David" w:hAnsi="David" w:cs="David"/>
          <w:b/>
          <w:bCs/>
          <w:sz w:val="40"/>
          <w:szCs w:val="40"/>
          <w:rtl/>
        </w:rPr>
        <w:t xml:space="preserve">הרב </w:t>
      </w:r>
      <w:r w:rsidR="00372F53">
        <w:rPr>
          <w:rFonts w:ascii="David" w:hAnsi="David" w:cs="David" w:hint="cs"/>
          <w:b/>
          <w:bCs/>
          <w:sz w:val="40"/>
          <w:szCs w:val="40"/>
          <w:rtl/>
        </w:rPr>
        <w:t>ד"ר מיכאל אברהם</w:t>
      </w:r>
    </w:p>
    <w:p w14:paraId="65C6110B" w14:textId="77777777" w:rsidR="00372F53" w:rsidRPr="009A7278" w:rsidRDefault="00372F53" w:rsidP="00372F53">
      <w:pPr>
        <w:spacing w:after="0"/>
        <w:jc w:val="center"/>
        <w:rPr>
          <w:rFonts w:ascii="David" w:hAnsi="David" w:cs="David"/>
          <w:b/>
          <w:bCs/>
          <w:sz w:val="36"/>
          <w:szCs w:val="36"/>
          <w:rtl/>
        </w:rPr>
      </w:pPr>
      <w:r w:rsidRPr="009A7278">
        <w:rPr>
          <w:rFonts w:ascii="David" w:hAnsi="David" w:cs="David"/>
          <w:b/>
          <w:bCs/>
          <w:sz w:val="36"/>
          <w:szCs w:val="36"/>
          <w:rtl/>
        </w:rPr>
        <w:t>על טעמי המצוות</w:t>
      </w:r>
    </w:p>
    <w:p w14:paraId="7A88BB11" w14:textId="77777777" w:rsidR="00372F53" w:rsidRPr="009A7278" w:rsidRDefault="00372F53" w:rsidP="00372F53">
      <w:pPr>
        <w:spacing w:after="0"/>
        <w:jc w:val="both"/>
        <w:rPr>
          <w:rFonts w:ascii="David" w:hAnsi="David" w:cs="David"/>
          <w:sz w:val="24"/>
          <w:szCs w:val="24"/>
          <w:rtl/>
        </w:rPr>
      </w:pPr>
    </w:p>
    <w:p w14:paraId="6A7D86D7" w14:textId="77777777" w:rsidR="00372F53" w:rsidRPr="009A7278" w:rsidRDefault="00372F53" w:rsidP="00372F53">
      <w:pPr>
        <w:spacing w:after="0"/>
        <w:jc w:val="both"/>
        <w:rPr>
          <w:rFonts w:ascii="David" w:hAnsi="David" w:cs="David"/>
          <w:sz w:val="24"/>
          <w:szCs w:val="24"/>
          <w:rtl/>
        </w:rPr>
      </w:pPr>
      <w:r w:rsidRPr="009A7278">
        <w:rPr>
          <w:rFonts w:ascii="David" w:hAnsi="David" w:cs="David"/>
          <w:sz w:val="24"/>
          <w:szCs w:val="24"/>
          <w:rtl/>
        </w:rPr>
        <w:t xml:space="preserve">פרשת </w:t>
      </w:r>
      <w:proofErr w:type="spellStart"/>
      <w:r w:rsidRPr="009A7278">
        <w:rPr>
          <w:rFonts w:ascii="David" w:hAnsi="David" w:cs="David"/>
          <w:sz w:val="24"/>
          <w:szCs w:val="24"/>
          <w:rtl/>
        </w:rPr>
        <w:t>חקת</w:t>
      </w:r>
      <w:proofErr w:type="spellEnd"/>
      <w:r w:rsidRPr="009A7278">
        <w:rPr>
          <w:rFonts w:ascii="David" w:hAnsi="David" w:cs="David"/>
          <w:sz w:val="24"/>
          <w:szCs w:val="24"/>
          <w:rtl/>
        </w:rPr>
        <w:t xml:space="preserve"> מתחילה בפרשת פרה אדומה, והפסוק הפותח הוא "זאת </w:t>
      </w:r>
      <w:proofErr w:type="spellStart"/>
      <w:r w:rsidRPr="009A7278">
        <w:rPr>
          <w:rFonts w:ascii="David" w:hAnsi="David" w:cs="David"/>
          <w:sz w:val="24"/>
          <w:szCs w:val="24"/>
          <w:rtl/>
        </w:rPr>
        <w:t>חקת</w:t>
      </w:r>
      <w:proofErr w:type="spellEnd"/>
      <w:r w:rsidRPr="009A7278">
        <w:rPr>
          <w:rFonts w:ascii="David" w:hAnsi="David" w:cs="David"/>
          <w:sz w:val="24"/>
          <w:szCs w:val="24"/>
          <w:rtl/>
        </w:rPr>
        <w:t xml:space="preserve"> התורה". רש"י כאן כותב:</w:t>
      </w:r>
    </w:p>
    <w:p w14:paraId="6CAAD61F" w14:textId="77777777" w:rsidR="00372F53" w:rsidRPr="009A7278" w:rsidRDefault="00372F53" w:rsidP="00372F53">
      <w:pPr>
        <w:spacing w:after="0"/>
        <w:ind w:left="720"/>
        <w:jc w:val="both"/>
        <w:rPr>
          <w:rFonts w:ascii="David" w:hAnsi="David" w:cs="David"/>
          <w:b/>
          <w:bCs/>
          <w:i/>
          <w:iCs/>
          <w:sz w:val="24"/>
          <w:szCs w:val="24"/>
          <w:rtl/>
        </w:rPr>
      </w:pPr>
      <w:r w:rsidRPr="009A7278">
        <w:rPr>
          <w:rFonts w:ascii="David" w:hAnsi="David" w:cs="David"/>
          <w:b/>
          <w:bCs/>
          <w:i/>
          <w:iCs/>
          <w:sz w:val="24"/>
          <w:szCs w:val="24"/>
          <w:rtl/>
        </w:rPr>
        <w:t xml:space="preserve">זאת </w:t>
      </w:r>
      <w:proofErr w:type="spellStart"/>
      <w:r w:rsidRPr="009A7278">
        <w:rPr>
          <w:rFonts w:ascii="David" w:hAnsi="David" w:cs="David"/>
          <w:b/>
          <w:bCs/>
          <w:i/>
          <w:iCs/>
          <w:sz w:val="24"/>
          <w:szCs w:val="24"/>
          <w:rtl/>
        </w:rPr>
        <w:t>חקת</w:t>
      </w:r>
      <w:proofErr w:type="spellEnd"/>
      <w:r w:rsidRPr="009A7278">
        <w:rPr>
          <w:rFonts w:ascii="David" w:hAnsi="David" w:cs="David"/>
          <w:b/>
          <w:bCs/>
          <w:i/>
          <w:iCs/>
          <w:sz w:val="24"/>
          <w:szCs w:val="24"/>
          <w:rtl/>
        </w:rPr>
        <w:t xml:space="preserve"> התורה - לפי שהשטן ואומות העולם מונין את ישראל לומר מה </w:t>
      </w:r>
      <w:proofErr w:type="spellStart"/>
      <w:r w:rsidRPr="009A7278">
        <w:rPr>
          <w:rFonts w:ascii="David" w:hAnsi="David" w:cs="David"/>
          <w:b/>
          <w:bCs/>
          <w:i/>
          <w:iCs/>
          <w:sz w:val="24"/>
          <w:szCs w:val="24"/>
          <w:rtl/>
        </w:rPr>
        <w:t>המצוה</w:t>
      </w:r>
      <w:proofErr w:type="spellEnd"/>
      <w:r w:rsidRPr="009A7278">
        <w:rPr>
          <w:rFonts w:ascii="David" w:hAnsi="David" w:cs="David"/>
          <w:b/>
          <w:bCs/>
          <w:i/>
          <w:iCs/>
          <w:sz w:val="24"/>
          <w:szCs w:val="24"/>
          <w:rtl/>
        </w:rPr>
        <w:t xml:space="preserve"> הזאת ומה טעם יש בה, לפיכך כתב בה חקה, גזירה היא מלפני ואין לך רשות להרהר אחריה:</w:t>
      </w:r>
    </w:p>
    <w:p w14:paraId="70E5524E" w14:textId="77777777" w:rsidR="00372F53" w:rsidRDefault="00372F53" w:rsidP="00372F53">
      <w:pPr>
        <w:spacing w:after="0"/>
        <w:jc w:val="both"/>
        <w:rPr>
          <w:rFonts w:ascii="David" w:hAnsi="David" w:cs="David"/>
          <w:sz w:val="24"/>
          <w:szCs w:val="24"/>
          <w:rtl/>
        </w:rPr>
      </w:pPr>
      <w:r w:rsidRPr="009A7278">
        <w:rPr>
          <w:rFonts w:ascii="David" w:hAnsi="David" w:cs="David"/>
          <w:sz w:val="24"/>
          <w:szCs w:val="24"/>
          <w:rtl/>
        </w:rPr>
        <w:t>כלומר פרה אדומה היא מצווה שאיננו מבינים את טעמה, ואין לנו רשות להרהר אחריה.</w:t>
      </w:r>
      <w:r>
        <w:rPr>
          <w:rFonts w:ascii="David" w:hAnsi="David" w:cs="David" w:hint="cs"/>
          <w:sz w:val="24"/>
          <w:szCs w:val="24"/>
          <w:rtl/>
        </w:rPr>
        <w:t xml:space="preserve"> רציתי לנצל את ההזדמנות כדי לגעת מעט בשאלת טעמי המצוות ומשמעותם.</w:t>
      </w:r>
    </w:p>
    <w:p w14:paraId="28935BAB" w14:textId="77777777" w:rsidR="00372F53" w:rsidRDefault="00372F53" w:rsidP="00372F53">
      <w:pPr>
        <w:spacing w:after="0"/>
        <w:jc w:val="both"/>
        <w:rPr>
          <w:rFonts w:ascii="David" w:hAnsi="David" w:cs="David"/>
          <w:sz w:val="24"/>
          <w:szCs w:val="24"/>
          <w:rtl/>
        </w:rPr>
      </w:pPr>
    </w:p>
    <w:p w14:paraId="3830872A" w14:textId="77777777" w:rsidR="00372F53" w:rsidRPr="009A7278" w:rsidRDefault="00372F53" w:rsidP="00372F53">
      <w:pPr>
        <w:spacing w:after="0"/>
        <w:jc w:val="both"/>
        <w:rPr>
          <w:rFonts w:ascii="David" w:hAnsi="David" w:cs="David"/>
          <w:b/>
          <w:bCs/>
          <w:sz w:val="24"/>
          <w:szCs w:val="24"/>
          <w:rtl/>
        </w:rPr>
      </w:pPr>
      <w:r w:rsidRPr="009A7278">
        <w:rPr>
          <w:rFonts w:ascii="David" w:hAnsi="David" w:cs="David" w:hint="cs"/>
          <w:b/>
          <w:bCs/>
          <w:sz w:val="24"/>
          <w:szCs w:val="24"/>
          <w:rtl/>
        </w:rPr>
        <w:t xml:space="preserve">המחלוקת לגבי דרישת טעמא </w:t>
      </w:r>
      <w:proofErr w:type="spellStart"/>
      <w:r w:rsidRPr="009A7278">
        <w:rPr>
          <w:rFonts w:ascii="David" w:hAnsi="David" w:cs="David" w:hint="cs"/>
          <w:b/>
          <w:bCs/>
          <w:sz w:val="24"/>
          <w:szCs w:val="24"/>
          <w:rtl/>
        </w:rPr>
        <w:t>דקרא</w:t>
      </w:r>
      <w:proofErr w:type="spellEnd"/>
    </w:p>
    <w:p w14:paraId="38BE1A25"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ישנה מחלוקת תנאים בשאלה האם דורשים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לדוגמה, הגמרא בסנהדרין </w:t>
      </w:r>
      <w:proofErr w:type="spellStart"/>
      <w:r>
        <w:rPr>
          <w:rFonts w:ascii="David" w:hAnsi="David" w:cs="David" w:hint="cs"/>
          <w:sz w:val="24"/>
          <w:szCs w:val="24"/>
          <w:rtl/>
        </w:rPr>
        <w:t>כא</w:t>
      </w:r>
      <w:proofErr w:type="spellEnd"/>
      <w:r>
        <w:rPr>
          <w:rFonts w:ascii="David" w:hAnsi="David" w:cs="David" w:hint="cs"/>
          <w:sz w:val="24"/>
          <w:szCs w:val="24"/>
          <w:rtl/>
        </w:rPr>
        <w:t xml:space="preserve"> ע"א מביאה לגבי איסור לקיחת משכון מאלמנה ("לא תחבול בגד אלמנה"):</w:t>
      </w:r>
    </w:p>
    <w:p w14:paraId="6FFDC6A5" w14:textId="77777777" w:rsidR="00372F53" w:rsidRDefault="00372F53" w:rsidP="00372F53">
      <w:pPr>
        <w:spacing w:after="0"/>
        <w:ind w:left="720"/>
        <w:jc w:val="both"/>
        <w:rPr>
          <w:rFonts w:ascii="David" w:hAnsi="David" w:cs="David"/>
          <w:b/>
          <w:bCs/>
          <w:i/>
          <w:iCs/>
          <w:sz w:val="24"/>
          <w:szCs w:val="24"/>
          <w:rtl/>
        </w:rPr>
      </w:pPr>
      <w:proofErr w:type="spellStart"/>
      <w:r w:rsidRPr="009A7278">
        <w:rPr>
          <w:rFonts w:ascii="David" w:hAnsi="David" w:cs="David"/>
          <w:b/>
          <w:bCs/>
          <w:i/>
          <w:iCs/>
          <w:sz w:val="24"/>
          <w:szCs w:val="24"/>
          <w:rtl/>
        </w:rPr>
        <w:t>דתניא</w:t>
      </w:r>
      <w:proofErr w:type="spellEnd"/>
      <w:r w:rsidRPr="009A7278">
        <w:rPr>
          <w:rFonts w:ascii="David" w:hAnsi="David" w:cs="David"/>
          <w:b/>
          <w:bCs/>
          <w:i/>
          <w:iCs/>
          <w:sz w:val="24"/>
          <w:szCs w:val="24"/>
          <w:rtl/>
        </w:rPr>
        <w:t xml:space="preserve"> אלמנה בין שהיא עניה בין שהיא עשירה אין </w:t>
      </w:r>
      <w:proofErr w:type="spellStart"/>
      <w:r w:rsidRPr="009A7278">
        <w:rPr>
          <w:rFonts w:ascii="David" w:hAnsi="David" w:cs="David"/>
          <w:b/>
          <w:bCs/>
          <w:i/>
          <w:iCs/>
          <w:sz w:val="24"/>
          <w:szCs w:val="24"/>
          <w:rtl/>
        </w:rPr>
        <w:t>ממשכנין</w:t>
      </w:r>
      <w:proofErr w:type="spellEnd"/>
      <w:r w:rsidRPr="009A7278">
        <w:rPr>
          <w:rFonts w:ascii="David" w:hAnsi="David" w:cs="David"/>
          <w:b/>
          <w:bCs/>
          <w:i/>
          <w:iCs/>
          <w:sz w:val="24"/>
          <w:szCs w:val="24"/>
          <w:rtl/>
        </w:rPr>
        <w:t xml:space="preserve"> אותה שנאמר לא תחבל בגד אלמנה דברי רבי יהודה רבי שמעון אומר עשירה </w:t>
      </w:r>
      <w:proofErr w:type="spellStart"/>
      <w:r w:rsidRPr="009A7278">
        <w:rPr>
          <w:rFonts w:ascii="David" w:hAnsi="David" w:cs="David"/>
          <w:b/>
          <w:bCs/>
          <w:i/>
          <w:iCs/>
          <w:sz w:val="24"/>
          <w:szCs w:val="24"/>
          <w:rtl/>
        </w:rPr>
        <w:t>ממשכנין</w:t>
      </w:r>
      <w:proofErr w:type="spellEnd"/>
      <w:r w:rsidRPr="009A7278">
        <w:rPr>
          <w:rFonts w:ascii="David" w:hAnsi="David" w:cs="David"/>
          <w:b/>
          <w:bCs/>
          <w:i/>
          <w:iCs/>
          <w:sz w:val="24"/>
          <w:szCs w:val="24"/>
          <w:rtl/>
        </w:rPr>
        <w:t xml:space="preserve"> אותה ענייה אין </w:t>
      </w:r>
      <w:proofErr w:type="spellStart"/>
      <w:r w:rsidRPr="009A7278">
        <w:rPr>
          <w:rFonts w:ascii="David" w:hAnsi="David" w:cs="David"/>
          <w:b/>
          <w:bCs/>
          <w:i/>
          <w:iCs/>
          <w:sz w:val="24"/>
          <w:szCs w:val="24"/>
          <w:rtl/>
        </w:rPr>
        <w:t>ממשכנין</w:t>
      </w:r>
      <w:proofErr w:type="spellEnd"/>
      <w:r w:rsidRPr="009A7278">
        <w:rPr>
          <w:rFonts w:ascii="David" w:hAnsi="David" w:cs="David"/>
          <w:b/>
          <w:bCs/>
          <w:i/>
          <w:iCs/>
          <w:sz w:val="24"/>
          <w:szCs w:val="24"/>
          <w:rtl/>
        </w:rPr>
        <w:t xml:space="preserve"> אותה ואתה חייב להחזיר לה ואתה משיאה שם רע בשכנותיה </w:t>
      </w:r>
      <w:proofErr w:type="spellStart"/>
      <w:r w:rsidRPr="009A7278">
        <w:rPr>
          <w:rFonts w:ascii="David" w:hAnsi="David" w:cs="David"/>
          <w:b/>
          <w:bCs/>
          <w:i/>
          <w:iCs/>
          <w:sz w:val="24"/>
          <w:szCs w:val="24"/>
          <w:rtl/>
        </w:rPr>
        <w:t>ואמרינן</w:t>
      </w:r>
      <w:proofErr w:type="spellEnd"/>
      <w:r w:rsidRPr="009A7278">
        <w:rPr>
          <w:rFonts w:ascii="David" w:hAnsi="David" w:cs="David"/>
          <w:b/>
          <w:bCs/>
          <w:i/>
          <w:iCs/>
          <w:sz w:val="24"/>
          <w:szCs w:val="24"/>
          <w:rtl/>
        </w:rPr>
        <w:t xml:space="preserve"> מאי </w:t>
      </w:r>
      <w:proofErr w:type="spellStart"/>
      <w:r w:rsidRPr="009A7278">
        <w:rPr>
          <w:rFonts w:ascii="David" w:hAnsi="David" w:cs="David"/>
          <w:b/>
          <w:bCs/>
          <w:i/>
          <w:iCs/>
          <w:sz w:val="24"/>
          <w:szCs w:val="24"/>
          <w:rtl/>
        </w:rPr>
        <w:t>קאמר</w:t>
      </w:r>
      <w:proofErr w:type="spellEnd"/>
      <w:r w:rsidRPr="009A7278">
        <w:rPr>
          <w:rFonts w:ascii="David" w:hAnsi="David" w:cs="David"/>
          <w:b/>
          <w:bCs/>
          <w:i/>
          <w:iCs/>
          <w:sz w:val="24"/>
          <w:szCs w:val="24"/>
          <w:rtl/>
        </w:rPr>
        <w:t xml:space="preserve"> הכי </w:t>
      </w:r>
      <w:proofErr w:type="spellStart"/>
      <w:r w:rsidRPr="009A7278">
        <w:rPr>
          <w:rFonts w:ascii="David" w:hAnsi="David" w:cs="David"/>
          <w:b/>
          <w:bCs/>
          <w:i/>
          <w:iCs/>
          <w:sz w:val="24"/>
          <w:szCs w:val="24"/>
          <w:rtl/>
        </w:rPr>
        <w:t>קאמר</w:t>
      </w:r>
      <w:proofErr w:type="spellEnd"/>
      <w:r w:rsidRPr="009A7278">
        <w:rPr>
          <w:rFonts w:ascii="David" w:hAnsi="David" w:cs="David"/>
          <w:b/>
          <w:bCs/>
          <w:i/>
          <w:iCs/>
          <w:sz w:val="24"/>
          <w:szCs w:val="24"/>
          <w:rtl/>
        </w:rPr>
        <w:t xml:space="preserve"> מתוך שאתה ממשכנה אתה חייב להחזיר לה ואתה משיאה שם רע בשכנותיה </w:t>
      </w:r>
      <w:proofErr w:type="spellStart"/>
      <w:r w:rsidRPr="009A7278">
        <w:rPr>
          <w:rFonts w:ascii="David" w:hAnsi="David" w:cs="David"/>
          <w:b/>
          <w:bCs/>
          <w:i/>
          <w:iCs/>
          <w:sz w:val="24"/>
          <w:szCs w:val="24"/>
          <w:rtl/>
        </w:rPr>
        <w:t>אלמא</w:t>
      </w:r>
      <w:proofErr w:type="spellEnd"/>
      <w:r w:rsidRPr="009A7278">
        <w:rPr>
          <w:rFonts w:ascii="David" w:hAnsi="David" w:cs="David"/>
          <w:b/>
          <w:bCs/>
          <w:i/>
          <w:iCs/>
          <w:sz w:val="24"/>
          <w:szCs w:val="24"/>
          <w:rtl/>
        </w:rPr>
        <w:t xml:space="preserve"> רבי יהודה לא </w:t>
      </w:r>
      <w:proofErr w:type="spellStart"/>
      <w:r w:rsidRPr="009A7278">
        <w:rPr>
          <w:rFonts w:ascii="David" w:hAnsi="David" w:cs="David"/>
          <w:b/>
          <w:bCs/>
          <w:i/>
          <w:iCs/>
          <w:sz w:val="24"/>
          <w:szCs w:val="24"/>
          <w:rtl/>
        </w:rPr>
        <w:t>דריש</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sidRPr="009A7278">
        <w:rPr>
          <w:rFonts w:ascii="David" w:hAnsi="David" w:cs="David"/>
          <w:b/>
          <w:bCs/>
          <w:i/>
          <w:iCs/>
          <w:sz w:val="24"/>
          <w:szCs w:val="24"/>
          <w:rtl/>
        </w:rPr>
        <w:t xml:space="preserve"> ורבי שמעון </w:t>
      </w:r>
      <w:proofErr w:type="spellStart"/>
      <w:r w:rsidRPr="009A7278">
        <w:rPr>
          <w:rFonts w:ascii="David" w:hAnsi="David" w:cs="David"/>
          <w:b/>
          <w:bCs/>
          <w:i/>
          <w:iCs/>
          <w:sz w:val="24"/>
          <w:szCs w:val="24"/>
          <w:rtl/>
        </w:rPr>
        <w:t>דריש</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Pr>
          <w:rFonts w:ascii="David" w:hAnsi="David" w:cs="David" w:hint="cs"/>
          <w:b/>
          <w:bCs/>
          <w:i/>
          <w:iCs/>
          <w:sz w:val="24"/>
          <w:szCs w:val="24"/>
          <w:rtl/>
        </w:rPr>
        <w:t>.</w:t>
      </w:r>
    </w:p>
    <w:p w14:paraId="75BA9389"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לפי רבי יהודה (=ר"י) מדובר בין באלמנה ענייה ובין בעשירה, שכן הכתוב לא מחלק. אבל רבי שמעון (=</w:t>
      </w:r>
      <w:proofErr w:type="spellStart"/>
      <w:r>
        <w:rPr>
          <w:rFonts w:ascii="David" w:hAnsi="David" w:cs="David" w:hint="cs"/>
          <w:sz w:val="24"/>
          <w:szCs w:val="24"/>
          <w:rtl/>
        </w:rPr>
        <w:t>ר"ש</w:t>
      </w:r>
      <w:proofErr w:type="spellEnd"/>
      <w:r>
        <w:rPr>
          <w:rFonts w:ascii="David" w:hAnsi="David" w:cs="David" w:hint="cs"/>
          <w:sz w:val="24"/>
          <w:szCs w:val="24"/>
          <w:rtl/>
        </w:rPr>
        <w:t xml:space="preserve">)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כלומר הוא מסביר מדוע התורה אוסרת לקחת משכון מאלמנה וגוזר מכאן שאם היא עשירה זה מותר. כלומר </w:t>
      </w:r>
      <w:proofErr w:type="spellStart"/>
      <w:r>
        <w:rPr>
          <w:rFonts w:ascii="David" w:hAnsi="David" w:cs="David" w:hint="cs"/>
          <w:sz w:val="24"/>
          <w:szCs w:val="24"/>
          <w:rtl/>
        </w:rPr>
        <w:t>ר"ש</w:t>
      </w:r>
      <w:proofErr w:type="spellEnd"/>
      <w:r>
        <w:rPr>
          <w:rFonts w:ascii="David" w:hAnsi="David" w:cs="David" w:hint="cs"/>
          <w:sz w:val="24"/>
          <w:szCs w:val="24"/>
          <w:rtl/>
        </w:rPr>
        <w:t xml:space="preserve">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w:t>
      </w:r>
      <w:proofErr w:type="spellStart"/>
      <w:r>
        <w:rPr>
          <w:rFonts w:ascii="David" w:hAnsi="David" w:cs="David" w:hint="cs"/>
          <w:sz w:val="24"/>
          <w:szCs w:val="24"/>
          <w:rtl/>
        </w:rPr>
        <w:t>ור"י</w:t>
      </w:r>
      <w:proofErr w:type="spellEnd"/>
      <w:r>
        <w:rPr>
          <w:rFonts w:ascii="David" w:hAnsi="David" w:cs="David" w:hint="cs"/>
          <w:sz w:val="24"/>
          <w:szCs w:val="24"/>
          <w:rtl/>
        </w:rPr>
        <w:t xml:space="preserve"> לא. להלכה אנחנו פוסקים כרבי יהודה (רמב"ם הל' מלווה ולווה פ"ג ה"א, </w:t>
      </w:r>
      <w:proofErr w:type="spellStart"/>
      <w:r>
        <w:rPr>
          <w:rFonts w:ascii="David" w:hAnsi="David" w:cs="David" w:hint="cs"/>
          <w:sz w:val="24"/>
          <w:szCs w:val="24"/>
          <w:rtl/>
        </w:rPr>
        <w:t>ו</w:t>
      </w:r>
      <w:r w:rsidRPr="005F5086">
        <w:rPr>
          <w:rFonts w:ascii="David" w:hAnsi="David" w:cs="David" w:hint="cs"/>
          <w:b/>
          <w:bCs/>
          <w:sz w:val="24"/>
          <w:szCs w:val="24"/>
          <w:rtl/>
        </w:rPr>
        <w:t>שו"ע</w:t>
      </w:r>
      <w:proofErr w:type="spellEnd"/>
      <w:r w:rsidRPr="005F5086">
        <w:rPr>
          <w:rFonts w:ascii="David" w:hAnsi="David" w:cs="David" w:hint="cs"/>
          <w:b/>
          <w:bCs/>
          <w:sz w:val="24"/>
          <w:szCs w:val="24"/>
          <w:rtl/>
        </w:rPr>
        <w:t xml:space="preserve"> </w:t>
      </w:r>
      <w:proofErr w:type="spellStart"/>
      <w:r>
        <w:rPr>
          <w:rFonts w:ascii="David" w:hAnsi="David" w:cs="David" w:hint="cs"/>
          <w:sz w:val="24"/>
          <w:szCs w:val="24"/>
          <w:rtl/>
        </w:rPr>
        <w:t>חו"מ</w:t>
      </w:r>
      <w:proofErr w:type="spellEnd"/>
      <w:r>
        <w:rPr>
          <w:rFonts w:ascii="David" w:hAnsi="David" w:cs="David" w:hint="cs"/>
          <w:sz w:val="24"/>
          <w:szCs w:val="24"/>
          <w:rtl/>
        </w:rPr>
        <w:t xml:space="preserve"> סי' </w:t>
      </w:r>
      <w:proofErr w:type="spellStart"/>
      <w:r>
        <w:rPr>
          <w:rFonts w:ascii="David" w:hAnsi="David" w:cs="David" w:hint="cs"/>
          <w:sz w:val="24"/>
          <w:szCs w:val="24"/>
          <w:rtl/>
        </w:rPr>
        <w:t>צז</w:t>
      </w:r>
      <w:proofErr w:type="spellEnd"/>
      <w:r>
        <w:rPr>
          <w:rFonts w:ascii="David" w:hAnsi="David" w:cs="David" w:hint="cs"/>
          <w:sz w:val="24"/>
          <w:szCs w:val="24"/>
          <w:rtl/>
        </w:rPr>
        <w:t xml:space="preserve"> </w:t>
      </w:r>
      <w:proofErr w:type="spellStart"/>
      <w:r>
        <w:rPr>
          <w:rFonts w:ascii="David" w:hAnsi="David" w:cs="David" w:hint="cs"/>
          <w:sz w:val="24"/>
          <w:szCs w:val="24"/>
          <w:rtl/>
        </w:rPr>
        <w:t>סי"ד</w:t>
      </w:r>
      <w:proofErr w:type="spellEnd"/>
      <w:r>
        <w:rPr>
          <w:rFonts w:ascii="David" w:hAnsi="David" w:cs="David" w:hint="cs"/>
          <w:sz w:val="24"/>
          <w:szCs w:val="24"/>
          <w:rtl/>
        </w:rPr>
        <w:t>).</w:t>
      </w:r>
    </w:p>
    <w:p w14:paraId="11BAE8AE" w14:textId="77777777" w:rsidR="00372F53" w:rsidRDefault="00372F53" w:rsidP="00372F53">
      <w:pPr>
        <w:spacing w:after="0"/>
        <w:jc w:val="both"/>
        <w:rPr>
          <w:rFonts w:ascii="David" w:hAnsi="David" w:cs="David"/>
          <w:sz w:val="24"/>
          <w:szCs w:val="24"/>
          <w:rtl/>
        </w:rPr>
      </w:pPr>
    </w:p>
    <w:p w14:paraId="4A7D2311" w14:textId="77777777" w:rsidR="00372F53" w:rsidRPr="00AA5628" w:rsidRDefault="00372F53" w:rsidP="00372F53">
      <w:pPr>
        <w:spacing w:after="0"/>
        <w:jc w:val="both"/>
        <w:rPr>
          <w:rFonts w:ascii="David" w:hAnsi="David" w:cs="David"/>
          <w:b/>
          <w:bCs/>
          <w:sz w:val="24"/>
          <w:szCs w:val="24"/>
          <w:rtl/>
        </w:rPr>
      </w:pPr>
      <w:r w:rsidRPr="00AA5628">
        <w:rPr>
          <w:rFonts w:ascii="David" w:hAnsi="David" w:cs="David" w:hint="cs"/>
          <w:b/>
          <w:bCs/>
          <w:sz w:val="24"/>
          <w:szCs w:val="24"/>
          <w:rtl/>
        </w:rPr>
        <w:t>בחזרה ל</w:t>
      </w:r>
      <w:r>
        <w:rPr>
          <w:rFonts w:ascii="David" w:hAnsi="David" w:cs="David" w:hint="cs"/>
          <w:b/>
          <w:bCs/>
          <w:sz w:val="24"/>
          <w:szCs w:val="24"/>
          <w:rtl/>
        </w:rPr>
        <w:t xml:space="preserve">מצוות </w:t>
      </w:r>
      <w:r w:rsidRPr="00AA5628">
        <w:rPr>
          <w:rFonts w:ascii="David" w:hAnsi="David" w:cs="David" w:hint="cs"/>
          <w:b/>
          <w:bCs/>
          <w:sz w:val="24"/>
          <w:szCs w:val="24"/>
          <w:rtl/>
        </w:rPr>
        <w:t>פרה אדומה</w:t>
      </w:r>
    </w:p>
    <w:p w14:paraId="3DB7246F"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לאור המחלוקת הזאת, לא ברור מה פירוש האיסור לעסוק בטעמי פרה אדומה. הרי להלכה איננו אמורים לדרוש את טעמה של אף מצווה. יתר על כן, הרי רבים מחכמי כל הדורות עסקו בטעמי המצוות (בעיקר פרשני התורה, אך לא רק הם). מכאן ברור שאין איסור לעסוק בטעמי המצוות. השאלה שבמחלוקת בין ר"י </w:t>
      </w:r>
      <w:proofErr w:type="spellStart"/>
      <w:r>
        <w:rPr>
          <w:rFonts w:ascii="David" w:hAnsi="David" w:cs="David" w:hint="cs"/>
          <w:sz w:val="24"/>
          <w:szCs w:val="24"/>
          <w:rtl/>
        </w:rPr>
        <w:t>לר"ש</w:t>
      </w:r>
      <w:proofErr w:type="spellEnd"/>
      <w:r>
        <w:rPr>
          <w:rFonts w:ascii="David" w:hAnsi="David" w:cs="David" w:hint="cs"/>
          <w:sz w:val="24"/>
          <w:szCs w:val="24"/>
          <w:rtl/>
        </w:rPr>
        <w:t xml:space="preserve"> היא רק האם מותר לגזור מסקנות הלכתיות מפרשנות תכליתית שנותנים למצווה כלשהי. הדבר דומה מאד לוויכוח בין משפטנים לגבי הלגיטימציה שיש לשופט להתבסס על פרשנות תכליתית לחוק. כלומר ודאי מותר לעסוק בטעמי המצוות, אבל אל לנו לגזור מטעם כזה מסקנות הלכתיות (כמו הבחנה בין אלמנה עשירה לענייה). ומכאן שלגבי פרה אדומה יש איסור אפילו על העיסוק בטעמיה.</w:t>
      </w:r>
    </w:p>
    <w:p w14:paraId="35FD8753"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אמנם גם בטעמי מצווה זו עסקו לא מעט חכמים והוגים. לכן נראה שרש"י כאן לא מביא איסור לעסוק בטעמי פרה אדומה, אלא איסור להרהר אחרי טעמיה. "להרהר אחרי" משהו בלשון חכמים, אין פירושו להרהר באותו משהו, אלא לערער עליו ולתהות שמא אינו נכון. להטיל בו דופי. זה מה שנאסר, ולא עצם העיסוק בטעמים. אמנם מכאן עולה מסקנה מרתקת: שלגבי שאר המצוות, שאינן גזירות הכתוב כמו פרה אדומה, מותר אפילו להרהר אחריהן. זה מאד תמוה, שהרי יש כאן היתר להטיל ספק במצוות אם הן לא הגיוניות (שכן לאמץ פרשנות הגיונית זו לא אופציה, שכן זוהי כבר דרישת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שלהלכה פוסקים שהיא אסורה).</w:t>
      </w:r>
    </w:p>
    <w:p w14:paraId="5A3D3C30"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סביר יותר שאין היתר להרהר אחר כל המצוות. ומה שהדבר נאמר דווקא ביחס לפרה אדומה, זה כנראה מפני ששם, בגלל הסתירות הפנימיות שקיימות בגדרי המצווה הזאת, יש אפשרות סבירה שיעלו בנו הרהורים כאלה (כמו אצל הגויים שמתוארים ברש"י הנ"ל).</w:t>
      </w:r>
    </w:p>
    <w:p w14:paraId="7A3AF0C0" w14:textId="77777777" w:rsidR="00372F53" w:rsidRDefault="00372F53" w:rsidP="00372F53">
      <w:pPr>
        <w:spacing w:after="0"/>
        <w:jc w:val="both"/>
        <w:rPr>
          <w:rFonts w:ascii="David" w:hAnsi="David" w:cs="David"/>
          <w:sz w:val="24"/>
          <w:szCs w:val="24"/>
          <w:rtl/>
        </w:rPr>
      </w:pPr>
    </w:p>
    <w:p w14:paraId="7DCB8DA9" w14:textId="77777777" w:rsidR="00372F53" w:rsidRDefault="00372F53" w:rsidP="00372F53">
      <w:pPr>
        <w:spacing w:after="0"/>
        <w:jc w:val="both"/>
        <w:rPr>
          <w:rFonts w:ascii="David" w:hAnsi="David" w:cs="David"/>
          <w:b/>
          <w:bCs/>
          <w:sz w:val="24"/>
          <w:szCs w:val="24"/>
          <w:rtl/>
        </w:rPr>
      </w:pPr>
    </w:p>
    <w:p w14:paraId="6427BF8A" w14:textId="77777777" w:rsidR="00372F53" w:rsidRDefault="00372F53" w:rsidP="00372F53">
      <w:pPr>
        <w:spacing w:after="0"/>
        <w:jc w:val="both"/>
        <w:rPr>
          <w:rFonts w:ascii="David" w:hAnsi="David" w:cs="David"/>
          <w:b/>
          <w:bCs/>
          <w:sz w:val="24"/>
          <w:szCs w:val="24"/>
          <w:rtl/>
        </w:rPr>
      </w:pPr>
    </w:p>
    <w:p w14:paraId="6E0F33B4" w14:textId="77777777" w:rsidR="00372F53" w:rsidRDefault="00372F53" w:rsidP="00372F53">
      <w:pPr>
        <w:spacing w:after="0"/>
        <w:jc w:val="both"/>
        <w:rPr>
          <w:rFonts w:ascii="David" w:hAnsi="David" w:cs="David"/>
          <w:b/>
          <w:bCs/>
          <w:sz w:val="24"/>
          <w:szCs w:val="24"/>
          <w:rtl/>
        </w:rPr>
      </w:pPr>
    </w:p>
    <w:p w14:paraId="4232E47F" w14:textId="63EBF47C" w:rsidR="00372F53" w:rsidRPr="00AA5628" w:rsidRDefault="00372F53" w:rsidP="00372F53">
      <w:pPr>
        <w:spacing w:after="0"/>
        <w:jc w:val="both"/>
        <w:rPr>
          <w:rFonts w:ascii="David" w:hAnsi="David" w:cs="David"/>
          <w:b/>
          <w:bCs/>
          <w:sz w:val="24"/>
          <w:szCs w:val="24"/>
          <w:rtl/>
        </w:rPr>
      </w:pPr>
      <w:r w:rsidRPr="00AA5628">
        <w:rPr>
          <w:rFonts w:ascii="David" w:hAnsi="David" w:cs="David" w:hint="cs"/>
          <w:b/>
          <w:bCs/>
          <w:sz w:val="24"/>
          <w:szCs w:val="24"/>
          <w:rtl/>
        </w:rPr>
        <w:lastRenderedPageBreak/>
        <w:t xml:space="preserve">דרישת טעמא </w:t>
      </w:r>
      <w:proofErr w:type="spellStart"/>
      <w:r w:rsidRPr="00AA5628">
        <w:rPr>
          <w:rFonts w:ascii="David" w:hAnsi="David" w:cs="David" w:hint="cs"/>
          <w:b/>
          <w:bCs/>
          <w:sz w:val="24"/>
          <w:szCs w:val="24"/>
          <w:rtl/>
        </w:rPr>
        <w:t>דקרא</w:t>
      </w:r>
      <w:proofErr w:type="spellEnd"/>
      <w:r w:rsidRPr="00AA5628">
        <w:rPr>
          <w:rFonts w:ascii="David" w:hAnsi="David" w:cs="David" w:hint="cs"/>
          <w:b/>
          <w:bCs/>
          <w:sz w:val="24"/>
          <w:szCs w:val="24"/>
          <w:rtl/>
        </w:rPr>
        <w:t xml:space="preserve"> בריבוי נשים למלך</w:t>
      </w:r>
    </w:p>
    <w:p w14:paraId="3574A199"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המשנה בסנהדרין </w:t>
      </w:r>
      <w:proofErr w:type="spellStart"/>
      <w:r>
        <w:rPr>
          <w:rFonts w:ascii="David" w:hAnsi="David" w:cs="David" w:hint="cs"/>
          <w:sz w:val="24"/>
          <w:szCs w:val="24"/>
          <w:rtl/>
        </w:rPr>
        <w:t>כא</w:t>
      </w:r>
      <w:proofErr w:type="spellEnd"/>
      <w:r>
        <w:rPr>
          <w:rFonts w:ascii="David" w:hAnsi="David" w:cs="David" w:hint="cs"/>
          <w:sz w:val="24"/>
          <w:szCs w:val="24"/>
          <w:rtl/>
        </w:rPr>
        <w:t xml:space="preserve"> ע"א דנה באיסור על מלך להרבות לו נשים:</w:t>
      </w:r>
    </w:p>
    <w:p w14:paraId="56682CAB" w14:textId="77777777" w:rsidR="00372F53" w:rsidRPr="009A7278" w:rsidRDefault="00372F53" w:rsidP="00372F53">
      <w:pPr>
        <w:spacing w:after="0"/>
        <w:ind w:left="720"/>
        <w:jc w:val="both"/>
        <w:rPr>
          <w:rFonts w:ascii="David" w:hAnsi="David" w:cs="David"/>
          <w:b/>
          <w:bCs/>
          <w:i/>
          <w:iCs/>
          <w:sz w:val="24"/>
          <w:szCs w:val="24"/>
          <w:rtl/>
        </w:rPr>
      </w:pPr>
      <w:r w:rsidRPr="009A7278">
        <w:rPr>
          <w:rFonts w:ascii="David" w:hAnsi="David" w:cs="David"/>
          <w:b/>
          <w:bCs/>
          <w:i/>
          <w:iCs/>
          <w:sz w:val="24"/>
          <w:szCs w:val="24"/>
          <w:rtl/>
        </w:rPr>
        <w:t xml:space="preserve">לא ירבה לו נשים אלא שמנה עשרה רבי יהודה אומר מרבה הוא לו ובלבד שלא </w:t>
      </w:r>
      <w:proofErr w:type="spellStart"/>
      <w:r w:rsidRPr="009A7278">
        <w:rPr>
          <w:rFonts w:ascii="David" w:hAnsi="David" w:cs="David"/>
          <w:b/>
          <w:bCs/>
          <w:i/>
          <w:iCs/>
          <w:sz w:val="24"/>
          <w:szCs w:val="24"/>
          <w:rtl/>
        </w:rPr>
        <w:t>יהו</w:t>
      </w:r>
      <w:proofErr w:type="spellEnd"/>
      <w:r w:rsidRPr="009A7278">
        <w:rPr>
          <w:rFonts w:ascii="David" w:hAnsi="David" w:cs="David"/>
          <w:b/>
          <w:bCs/>
          <w:i/>
          <w:iCs/>
          <w:sz w:val="24"/>
          <w:szCs w:val="24"/>
          <w:rtl/>
        </w:rPr>
        <w:t xml:space="preserve"> מסירות את לבו רבי שמעון אומר אפילו אחת ומסירה את לבו הרי זה לא </w:t>
      </w:r>
      <w:proofErr w:type="spellStart"/>
      <w:r w:rsidRPr="009A7278">
        <w:rPr>
          <w:rFonts w:ascii="David" w:hAnsi="David" w:cs="David"/>
          <w:b/>
          <w:bCs/>
          <w:i/>
          <w:iCs/>
          <w:sz w:val="24"/>
          <w:szCs w:val="24"/>
          <w:rtl/>
        </w:rPr>
        <w:t>ישאנה</w:t>
      </w:r>
      <w:proofErr w:type="spellEnd"/>
      <w:r w:rsidRPr="009A7278">
        <w:rPr>
          <w:rFonts w:ascii="David" w:hAnsi="David" w:cs="David"/>
          <w:b/>
          <w:bCs/>
          <w:i/>
          <w:iCs/>
          <w:sz w:val="24"/>
          <w:szCs w:val="24"/>
          <w:rtl/>
        </w:rPr>
        <w:t xml:space="preserve"> אם כן למה נאמר לא ירבה לו נשים </w:t>
      </w:r>
      <w:proofErr w:type="spellStart"/>
      <w:r w:rsidRPr="009A7278">
        <w:rPr>
          <w:rFonts w:ascii="David" w:hAnsi="David" w:cs="David"/>
          <w:b/>
          <w:bCs/>
          <w:i/>
          <w:iCs/>
          <w:sz w:val="24"/>
          <w:szCs w:val="24"/>
          <w:rtl/>
        </w:rPr>
        <w:t>דאפילו</w:t>
      </w:r>
      <w:proofErr w:type="spellEnd"/>
      <w:r w:rsidRPr="009A7278">
        <w:rPr>
          <w:rFonts w:ascii="David" w:hAnsi="David" w:cs="David"/>
          <w:b/>
          <w:bCs/>
          <w:i/>
          <w:iCs/>
          <w:sz w:val="24"/>
          <w:szCs w:val="24"/>
          <w:rtl/>
        </w:rPr>
        <w:t xml:space="preserve"> כאביגיל:</w:t>
      </w:r>
    </w:p>
    <w:p w14:paraId="75867DE6"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לכאורה </w:t>
      </w:r>
      <w:proofErr w:type="spellStart"/>
      <w:r>
        <w:rPr>
          <w:rFonts w:ascii="David" w:hAnsi="David" w:cs="David" w:hint="cs"/>
          <w:sz w:val="24"/>
          <w:szCs w:val="24"/>
          <w:rtl/>
        </w:rPr>
        <w:t>ר"ש</w:t>
      </w:r>
      <w:proofErr w:type="spellEnd"/>
      <w:r>
        <w:rPr>
          <w:rFonts w:ascii="David" w:hAnsi="David" w:cs="David" w:hint="cs"/>
          <w:sz w:val="24"/>
          <w:szCs w:val="24"/>
          <w:rtl/>
        </w:rPr>
        <w:t xml:space="preserve"> </w:t>
      </w:r>
      <w:proofErr w:type="spellStart"/>
      <w:r>
        <w:rPr>
          <w:rFonts w:ascii="David" w:hAnsi="David" w:cs="David" w:hint="cs"/>
          <w:sz w:val="24"/>
          <w:szCs w:val="24"/>
          <w:rtl/>
        </w:rPr>
        <w:t>ור"י</w:t>
      </w:r>
      <w:proofErr w:type="spellEnd"/>
      <w:r>
        <w:rPr>
          <w:rFonts w:ascii="David" w:hAnsi="David" w:cs="David" w:hint="cs"/>
          <w:sz w:val="24"/>
          <w:szCs w:val="24"/>
          <w:rtl/>
        </w:rPr>
        <w:t xml:space="preserve"> נחלקים בשאלה מתי אסור למלך להרבות לו נשים (מעבר לשמונה-עשרה. הגמרא שם מסבירה מניין יצא המספר הזה): לפי ר"י מותר לו להרבות אם הן צדיקות (שאינן מסירות את ליבו). אבל מרשעות אסור לקחת יותר משמונה-עשרה. </w:t>
      </w:r>
      <w:proofErr w:type="spellStart"/>
      <w:r>
        <w:rPr>
          <w:rFonts w:ascii="David" w:hAnsi="David" w:cs="David" w:hint="cs"/>
          <w:sz w:val="24"/>
          <w:szCs w:val="24"/>
          <w:rtl/>
        </w:rPr>
        <w:t>ור"ש</w:t>
      </w:r>
      <w:proofErr w:type="spellEnd"/>
      <w:r>
        <w:rPr>
          <w:rFonts w:ascii="David" w:hAnsi="David" w:cs="David" w:hint="cs"/>
          <w:sz w:val="24"/>
          <w:szCs w:val="24"/>
          <w:rtl/>
        </w:rPr>
        <w:t xml:space="preserve"> סובר שצדיקות </w:t>
      </w:r>
      <w:proofErr w:type="spellStart"/>
      <w:r>
        <w:rPr>
          <w:rFonts w:ascii="David" w:hAnsi="David" w:cs="David" w:hint="cs"/>
          <w:sz w:val="24"/>
          <w:szCs w:val="24"/>
          <w:rtl/>
        </w:rPr>
        <w:t>אןי</w:t>
      </w:r>
      <w:proofErr w:type="spellEnd"/>
      <w:r>
        <w:rPr>
          <w:rFonts w:ascii="David" w:hAnsi="David" w:cs="David" w:hint="cs"/>
          <w:sz w:val="24"/>
          <w:szCs w:val="24"/>
          <w:rtl/>
        </w:rPr>
        <w:t xml:space="preserve"> לקחת מעבר לשמונה-עשרה, אבל מרושעות אין לקחת בכלל (שהרי גם אחת תסיר את ליבו).</w:t>
      </w:r>
    </w:p>
    <w:p w14:paraId="4398E255"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הגמרא שם תמהה על המחלוקת הזאת, שכן כפי שראינו </w:t>
      </w:r>
      <w:proofErr w:type="spellStart"/>
      <w:r>
        <w:rPr>
          <w:rFonts w:ascii="David" w:hAnsi="David" w:cs="David" w:hint="cs"/>
          <w:sz w:val="24"/>
          <w:szCs w:val="24"/>
          <w:rtl/>
        </w:rPr>
        <w:t>ר"ש</w:t>
      </w:r>
      <w:proofErr w:type="spellEnd"/>
      <w:r>
        <w:rPr>
          <w:rFonts w:ascii="David" w:hAnsi="David" w:cs="David" w:hint="cs"/>
          <w:sz w:val="24"/>
          <w:szCs w:val="24"/>
          <w:rtl/>
        </w:rPr>
        <w:t xml:space="preserve"> </w:t>
      </w:r>
      <w:proofErr w:type="spellStart"/>
      <w:r>
        <w:rPr>
          <w:rFonts w:ascii="David" w:hAnsi="David" w:cs="David" w:hint="cs"/>
          <w:sz w:val="24"/>
          <w:szCs w:val="24"/>
          <w:rtl/>
        </w:rPr>
        <w:t>ור"י</w:t>
      </w:r>
      <w:proofErr w:type="spellEnd"/>
      <w:r>
        <w:rPr>
          <w:rFonts w:ascii="David" w:hAnsi="David" w:cs="David" w:hint="cs"/>
          <w:sz w:val="24"/>
          <w:szCs w:val="24"/>
          <w:rtl/>
        </w:rPr>
        <w:t xml:space="preserve"> נחלקים בשאלת דרישת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ועל פניו נראה שעמדותיהם כאן הפוכות למה שראינו. הרי כאן ר"י הולך אחרי הטעם ודווקא </w:t>
      </w:r>
      <w:proofErr w:type="spellStart"/>
      <w:r>
        <w:rPr>
          <w:rFonts w:ascii="David" w:hAnsi="David" w:cs="David" w:hint="cs"/>
          <w:sz w:val="24"/>
          <w:szCs w:val="24"/>
          <w:rtl/>
        </w:rPr>
        <w:t>ר"ש</w:t>
      </w:r>
      <w:proofErr w:type="spellEnd"/>
      <w:r>
        <w:rPr>
          <w:rFonts w:ascii="David" w:hAnsi="David" w:cs="David" w:hint="cs"/>
          <w:sz w:val="24"/>
          <w:szCs w:val="24"/>
          <w:rtl/>
        </w:rPr>
        <w:t xml:space="preserve"> לא.</w:t>
      </w:r>
    </w:p>
    <w:p w14:paraId="5B2FA16E"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הגמרא באמת שואלת זאת:</w:t>
      </w:r>
    </w:p>
    <w:p w14:paraId="4D50EEE6" w14:textId="77777777" w:rsidR="00372F53" w:rsidRDefault="00372F53" w:rsidP="00372F53">
      <w:pPr>
        <w:spacing w:after="0"/>
        <w:ind w:left="720"/>
        <w:jc w:val="both"/>
        <w:rPr>
          <w:rFonts w:ascii="David" w:hAnsi="David" w:cs="David"/>
          <w:b/>
          <w:bCs/>
          <w:i/>
          <w:iCs/>
          <w:sz w:val="24"/>
          <w:szCs w:val="24"/>
          <w:rtl/>
        </w:rPr>
      </w:pPr>
      <w:r w:rsidRPr="009A7278">
        <w:rPr>
          <w:rFonts w:ascii="David" w:hAnsi="David" w:cs="David"/>
          <w:b/>
          <w:bCs/>
          <w:i/>
          <w:iCs/>
          <w:sz w:val="24"/>
          <w:szCs w:val="24"/>
          <w:rtl/>
        </w:rPr>
        <w:t xml:space="preserve">גמרא </w:t>
      </w:r>
      <w:proofErr w:type="spellStart"/>
      <w:r w:rsidRPr="009A7278">
        <w:rPr>
          <w:rFonts w:ascii="David" w:hAnsi="David" w:cs="David"/>
          <w:b/>
          <w:bCs/>
          <w:i/>
          <w:iCs/>
          <w:sz w:val="24"/>
          <w:szCs w:val="24"/>
          <w:rtl/>
        </w:rPr>
        <w:t>למימרא</w:t>
      </w:r>
      <w:proofErr w:type="spellEnd"/>
      <w:r w:rsidRPr="009A7278">
        <w:rPr>
          <w:rFonts w:ascii="David" w:hAnsi="David" w:cs="David"/>
          <w:b/>
          <w:bCs/>
          <w:i/>
          <w:iCs/>
          <w:sz w:val="24"/>
          <w:szCs w:val="24"/>
          <w:rtl/>
        </w:rPr>
        <w:t xml:space="preserve"> דרבי יהודה </w:t>
      </w:r>
      <w:proofErr w:type="spellStart"/>
      <w:r w:rsidRPr="009A7278">
        <w:rPr>
          <w:rFonts w:ascii="David" w:hAnsi="David" w:cs="David"/>
          <w:b/>
          <w:bCs/>
          <w:i/>
          <w:iCs/>
          <w:sz w:val="24"/>
          <w:szCs w:val="24"/>
          <w:rtl/>
        </w:rPr>
        <w:t>דריש</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sidRPr="009A7278">
        <w:rPr>
          <w:rFonts w:ascii="David" w:hAnsi="David" w:cs="David"/>
          <w:b/>
          <w:bCs/>
          <w:i/>
          <w:iCs/>
          <w:sz w:val="24"/>
          <w:szCs w:val="24"/>
          <w:rtl/>
        </w:rPr>
        <w:t xml:space="preserve"> ורבי שמעון לא </w:t>
      </w:r>
      <w:proofErr w:type="spellStart"/>
      <w:r w:rsidRPr="009A7278">
        <w:rPr>
          <w:rFonts w:ascii="David" w:hAnsi="David" w:cs="David"/>
          <w:b/>
          <w:bCs/>
          <w:i/>
          <w:iCs/>
          <w:sz w:val="24"/>
          <w:szCs w:val="24"/>
          <w:rtl/>
        </w:rPr>
        <w:t>דריש</w:t>
      </w:r>
      <w:proofErr w:type="spellEnd"/>
      <w:r>
        <w:rPr>
          <w:rFonts w:ascii="David" w:hAnsi="David" w:cs="David"/>
          <w:b/>
          <w:bCs/>
          <w:i/>
          <w:iCs/>
          <w:sz w:val="24"/>
          <w:szCs w:val="24"/>
          <w:rtl/>
        </w:rPr>
        <w:t xml:space="preserve"> טעמא </w:t>
      </w:r>
      <w:proofErr w:type="spellStart"/>
      <w:r>
        <w:rPr>
          <w:rFonts w:ascii="David" w:hAnsi="David" w:cs="David"/>
          <w:b/>
          <w:bCs/>
          <w:i/>
          <w:iCs/>
          <w:sz w:val="24"/>
          <w:szCs w:val="24"/>
          <w:rtl/>
        </w:rPr>
        <w:t>דקרא</w:t>
      </w:r>
      <w:proofErr w:type="spellEnd"/>
      <w:r>
        <w:rPr>
          <w:rFonts w:ascii="David" w:hAnsi="David" w:cs="David"/>
          <w:b/>
          <w:bCs/>
          <w:i/>
          <w:iCs/>
          <w:sz w:val="24"/>
          <w:szCs w:val="24"/>
          <w:rtl/>
        </w:rPr>
        <w:t xml:space="preserve"> והא איפכא שמעינן להו</w:t>
      </w:r>
      <w:r>
        <w:rPr>
          <w:rFonts w:ascii="David" w:hAnsi="David" w:cs="David" w:hint="cs"/>
          <w:b/>
          <w:bCs/>
          <w:i/>
          <w:iCs/>
          <w:sz w:val="24"/>
          <w:szCs w:val="24"/>
          <w:rtl/>
        </w:rPr>
        <w:t>...</w:t>
      </w:r>
    </w:p>
    <w:p w14:paraId="34E9C3A6" w14:textId="77777777" w:rsidR="00372F53" w:rsidRPr="009A7278" w:rsidRDefault="00372F53" w:rsidP="00372F53">
      <w:pPr>
        <w:spacing w:after="0"/>
        <w:jc w:val="both"/>
        <w:rPr>
          <w:rFonts w:ascii="David" w:hAnsi="David" w:cs="David"/>
          <w:sz w:val="24"/>
          <w:szCs w:val="24"/>
          <w:rtl/>
        </w:rPr>
      </w:pPr>
      <w:r>
        <w:rPr>
          <w:rFonts w:ascii="David" w:hAnsi="David" w:cs="David" w:hint="cs"/>
          <w:sz w:val="24"/>
          <w:szCs w:val="24"/>
          <w:rtl/>
        </w:rPr>
        <w:t>לאחר שהיא מביאה את הברייתא שהוזכרה למעלה (לגבי משכון מאלמנה), הגמרא עונה:</w:t>
      </w:r>
    </w:p>
    <w:p w14:paraId="070385D5" w14:textId="77777777" w:rsidR="00372F53" w:rsidRPr="009A7278" w:rsidRDefault="00372F53" w:rsidP="00372F53">
      <w:pPr>
        <w:spacing w:after="0"/>
        <w:ind w:left="720"/>
        <w:jc w:val="both"/>
        <w:rPr>
          <w:rFonts w:ascii="David" w:hAnsi="David" w:cs="David"/>
          <w:b/>
          <w:bCs/>
          <w:i/>
          <w:iCs/>
          <w:sz w:val="24"/>
          <w:szCs w:val="24"/>
          <w:rtl/>
        </w:rPr>
      </w:pPr>
      <w:r w:rsidRPr="009A7278">
        <w:rPr>
          <w:rFonts w:ascii="David" w:hAnsi="David" w:cs="David"/>
          <w:b/>
          <w:bCs/>
          <w:i/>
          <w:iCs/>
          <w:sz w:val="24"/>
          <w:szCs w:val="24"/>
          <w:rtl/>
        </w:rPr>
        <w:t xml:space="preserve">בעלמא רבי יהודה לא </w:t>
      </w:r>
      <w:proofErr w:type="spellStart"/>
      <w:r w:rsidRPr="009A7278">
        <w:rPr>
          <w:rFonts w:ascii="David" w:hAnsi="David" w:cs="David"/>
          <w:b/>
          <w:bCs/>
          <w:i/>
          <w:iCs/>
          <w:sz w:val="24"/>
          <w:szCs w:val="24"/>
          <w:rtl/>
        </w:rPr>
        <w:t>דריש</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sidRPr="009A7278">
        <w:rPr>
          <w:rFonts w:ascii="David" w:hAnsi="David" w:cs="David"/>
          <w:b/>
          <w:bCs/>
          <w:i/>
          <w:iCs/>
          <w:sz w:val="24"/>
          <w:szCs w:val="24"/>
          <w:rtl/>
        </w:rPr>
        <w:t xml:space="preserve"> ושאני הכא </w:t>
      </w:r>
      <w:proofErr w:type="spellStart"/>
      <w:r w:rsidRPr="009A7278">
        <w:rPr>
          <w:rFonts w:ascii="David" w:hAnsi="David" w:cs="David"/>
          <w:b/>
          <w:bCs/>
          <w:i/>
          <w:iCs/>
          <w:sz w:val="24"/>
          <w:szCs w:val="24"/>
          <w:rtl/>
        </w:rPr>
        <w:t>דמפרש</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sidRPr="009A7278">
        <w:rPr>
          <w:rFonts w:ascii="David" w:hAnsi="David" w:cs="David"/>
          <w:b/>
          <w:bCs/>
          <w:i/>
          <w:iCs/>
          <w:sz w:val="24"/>
          <w:szCs w:val="24"/>
          <w:rtl/>
        </w:rPr>
        <w:t xml:space="preserve"> מה טעם לא ירבה לו נשים משום דלא יסור לבבו ורבי שמעון אמר לך מכדי בעלמא </w:t>
      </w:r>
      <w:proofErr w:type="spellStart"/>
      <w:r w:rsidRPr="009A7278">
        <w:rPr>
          <w:rFonts w:ascii="David" w:hAnsi="David" w:cs="David"/>
          <w:b/>
          <w:bCs/>
          <w:i/>
          <w:iCs/>
          <w:sz w:val="24"/>
          <w:szCs w:val="24"/>
          <w:rtl/>
        </w:rPr>
        <w:t>דרשינן</w:t>
      </w:r>
      <w:proofErr w:type="spellEnd"/>
      <w:r w:rsidRPr="009A7278">
        <w:rPr>
          <w:rFonts w:ascii="David" w:hAnsi="David" w:cs="David"/>
          <w:b/>
          <w:bCs/>
          <w:i/>
          <w:iCs/>
          <w:sz w:val="24"/>
          <w:szCs w:val="24"/>
          <w:rtl/>
        </w:rPr>
        <w:t xml:space="preserve"> טעמא </w:t>
      </w:r>
      <w:proofErr w:type="spellStart"/>
      <w:r w:rsidRPr="009A7278">
        <w:rPr>
          <w:rFonts w:ascii="David" w:hAnsi="David" w:cs="David"/>
          <w:b/>
          <w:bCs/>
          <w:i/>
          <w:iCs/>
          <w:sz w:val="24"/>
          <w:szCs w:val="24"/>
          <w:rtl/>
        </w:rPr>
        <w:t>דקרא</w:t>
      </w:r>
      <w:proofErr w:type="spellEnd"/>
      <w:r w:rsidRPr="009A7278">
        <w:rPr>
          <w:rFonts w:ascii="David" w:hAnsi="David" w:cs="David"/>
          <w:b/>
          <w:bCs/>
          <w:i/>
          <w:iCs/>
          <w:sz w:val="24"/>
          <w:szCs w:val="24"/>
          <w:rtl/>
        </w:rPr>
        <w:t xml:space="preserve"> אם כן לכתוב קרא לא ירבה לו נשים </w:t>
      </w:r>
      <w:proofErr w:type="spellStart"/>
      <w:r w:rsidRPr="009A7278">
        <w:rPr>
          <w:rFonts w:ascii="David" w:hAnsi="David" w:cs="David"/>
          <w:b/>
          <w:bCs/>
          <w:i/>
          <w:iCs/>
          <w:sz w:val="24"/>
          <w:szCs w:val="24"/>
          <w:rtl/>
        </w:rPr>
        <w:t>ולישתוק</w:t>
      </w:r>
      <w:proofErr w:type="spellEnd"/>
      <w:r w:rsidRPr="009A7278">
        <w:rPr>
          <w:rFonts w:ascii="David" w:hAnsi="David" w:cs="David"/>
          <w:b/>
          <w:bCs/>
          <w:i/>
          <w:iCs/>
          <w:sz w:val="24"/>
          <w:szCs w:val="24"/>
          <w:rtl/>
        </w:rPr>
        <w:t xml:space="preserve"> </w:t>
      </w:r>
      <w:proofErr w:type="spellStart"/>
      <w:r w:rsidRPr="009A7278">
        <w:rPr>
          <w:rFonts w:ascii="David" w:hAnsi="David" w:cs="David"/>
          <w:b/>
          <w:bCs/>
          <w:i/>
          <w:iCs/>
          <w:sz w:val="24"/>
          <w:szCs w:val="24"/>
          <w:rtl/>
        </w:rPr>
        <w:t>ואנא</w:t>
      </w:r>
      <w:proofErr w:type="spellEnd"/>
      <w:r w:rsidRPr="009A7278">
        <w:rPr>
          <w:rFonts w:ascii="David" w:hAnsi="David" w:cs="David"/>
          <w:b/>
          <w:bCs/>
          <w:i/>
          <w:iCs/>
          <w:sz w:val="24"/>
          <w:szCs w:val="24"/>
          <w:rtl/>
        </w:rPr>
        <w:t xml:space="preserve"> </w:t>
      </w:r>
      <w:proofErr w:type="spellStart"/>
      <w:r w:rsidRPr="009A7278">
        <w:rPr>
          <w:rFonts w:ascii="David" w:hAnsi="David" w:cs="David"/>
          <w:b/>
          <w:bCs/>
          <w:i/>
          <w:iCs/>
          <w:sz w:val="24"/>
          <w:szCs w:val="24"/>
          <w:rtl/>
        </w:rPr>
        <w:t>אמינא</w:t>
      </w:r>
      <w:proofErr w:type="spellEnd"/>
      <w:r w:rsidRPr="009A7278">
        <w:rPr>
          <w:rFonts w:ascii="David" w:hAnsi="David" w:cs="David"/>
          <w:b/>
          <w:bCs/>
          <w:i/>
          <w:iCs/>
          <w:sz w:val="24"/>
          <w:szCs w:val="24"/>
          <w:rtl/>
        </w:rPr>
        <w:t xml:space="preserve"> מה טעם לא ירבה משום דלא יסור לא יסור למה לי אפילו אחת ומסירה את לבו הרי זו לא </w:t>
      </w:r>
      <w:proofErr w:type="spellStart"/>
      <w:r w:rsidRPr="009A7278">
        <w:rPr>
          <w:rFonts w:ascii="David" w:hAnsi="David" w:cs="David"/>
          <w:b/>
          <w:bCs/>
          <w:i/>
          <w:iCs/>
          <w:sz w:val="24"/>
          <w:szCs w:val="24"/>
          <w:rtl/>
        </w:rPr>
        <w:t>ישאנה</w:t>
      </w:r>
      <w:proofErr w:type="spellEnd"/>
      <w:r w:rsidRPr="009A7278">
        <w:rPr>
          <w:rFonts w:ascii="David" w:hAnsi="David" w:cs="David"/>
          <w:b/>
          <w:bCs/>
          <w:i/>
          <w:iCs/>
          <w:sz w:val="24"/>
          <w:szCs w:val="24"/>
          <w:rtl/>
        </w:rPr>
        <w:t xml:space="preserve"> אלא מה אני מקיים לא ירבה </w:t>
      </w:r>
      <w:proofErr w:type="spellStart"/>
      <w:r w:rsidRPr="009A7278">
        <w:rPr>
          <w:rFonts w:ascii="David" w:hAnsi="David" w:cs="David"/>
          <w:b/>
          <w:bCs/>
          <w:i/>
          <w:iCs/>
          <w:sz w:val="24"/>
          <w:szCs w:val="24"/>
          <w:rtl/>
        </w:rPr>
        <w:t>דאפילו</w:t>
      </w:r>
      <w:proofErr w:type="spellEnd"/>
      <w:r w:rsidRPr="009A7278">
        <w:rPr>
          <w:rFonts w:ascii="David" w:hAnsi="David" w:cs="David"/>
          <w:b/>
          <w:bCs/>
          <w:i/>
          <w:iCs/>
          <w:sz w:val="24"/>
          <w:szCs w:val="24"/>
          <w:rtl/>
        </w:rPr>
        <w:t xml:space="preserve"> כאביגיל:</w:t>
      </w:r>
    </w:p>
    <w:p w14:paraId="2D31FDA5"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ריבוי נשים למלך הוא מקרה מיוחד, שכן במקרה זה הפסוק עצמו מציין בפירוש את טעם המצווה: "לא ירבה לו נשים ולא יסור לבבו". לכן כאן העמדות באמת מתהפכות: ר"י שבדרך כלל לא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זה כנראה מפני שאין לנו דרך לדעת מהו הטעם הנכון. אבל במקרה שהפסוק עצמו כותב את הטעם אין חשש שנטעה, ולכן שם הוא כן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ולכן לשיטתו מותר לרבות נשים צדיקות. ואילו </w:t>
      </w:r>
      <w:proofErr w:type="spellStart"/>
      <w:r>
        <w:rPr>
          <w:rFonts w:ascii="David" w:hAnsi="David" w:cs="David" w:hint="cs"/>
          <w:sz w:val="24"/>
          <w:szCs w:val="24"/>
          <w:rtl/>
        </w:rPr>
        <w:t>ר"ש</w:t>
      </w:r>
      <w:proofErr w:type="spellEnd"/>
      <w:r>
        <w:rPr>
          <w:rFonts w:ascii="David" w:hAnsi="David" w:cs="David" w:hint="cs"/>
          <w:sz w:val="24"/>
          <w:szCs w:val="24"/>
          <w:rtl/>
        </w:rPr>
        <w:t xml:space="preserve"> שבדרך כלל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שכן לדעתו אין לחשוש שמא נטעה, שואל את עצמו מדוע כאן התורה טרחה לכתוב בפירוש את הטעם ולא סמכה עלינו שנדרוש אותו. </w:t>
      </w:r>
      <w:proofErr w:type="spellStart"/>
      <w:r>
        <w:rPr>
          <w:rFonts w:ascii="David" w:hAnsi="David" w:cs="David" w:hint="cs"/>
          <w:sz w:val="24"/>
          <w:szCs w:val="24"/>
          <w:rtl/>
        </w:rPr>
        <w:t>כמכאן</w:t>
      </w:r>
      <w:proofErr w:type="spellEnd"/>
      <w:r>
        <w:rPr>
          <w:rFonts w:ascii="David" w:hAnsi="David" w:cs="David" w:hint="cs"/>
          <w:sz w:val="24"/>
          <w:szCs w:val="24"/>
          <w:rtl/>
        </w:rPr>
        <w:t xml:space="preserve"> הוא גוזר שכנראה זה אינו טעם אלא איסור נוסף. לכן לשיטתו יש שני איסורים: 1. איסור להרבות נשים, מהרישא של הפסוק ("לא ירבה לו נשים"). 2. איסור לשאת נשים שמסירות את ליבו, בכל מספר שהוא, וזה נלמד מהסיפא ("ולא יסור לבבו").</w:t>
      </w:r>
    </w:p>
    <w:p w14:paraId="71DC5E6F"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במאמר מוסגר אומר שהרמב"ם בשורש החמישי שלו עוסק במעמדם ההלכתי של פסוקי טעם, וקובע שאין למנות אותם כמצוות בפני עצמן אלא כטעמים למצוות. זו אחת הדוגמאות לעיקרון שלו. יש לשים לב שהוא מניח שיש בתורה פסוקי טעם, כלומר  פסוקים שמטרתם לתת טעם למצווה. לפי רש"י אין פסוקים כאלה (כי לשיטתו כל פסוק טעם הוא בעצם ציווי עצמאי). מעבר לזה, ברור שהרמב"ם פוסק כרבי יהודה שמבין שכשמופיע בתורה טעם למצווה זו לא מצווה עצמאית אלא טעם למצווה שעליה הוא נסוב.</w:t>
      </w:r>
    </w:p>
    <w:p w14:paraId="2E1FAAB5" w14:textId="77777777" w:rsidR="00372F53" w:rsidRDefault="00372F53" w:rsidP="00372F53">
      <w:pPr>
        <w:spacing w:after="0"/>
        <w:jc w:val="both"/>
        <w:rPr>
          <w:rFonts w:ascii="David" w:hAnsi="David" w:cs="David"/>
          <w:sz w:val="24"/>
          <w:szCs w:val="24"/>
          <w:rtl/>
        </w:rPr>
      </w:pPr>
    </w:p>
    <w:p w14:paraId="0FE4A844" w14:textId="77777777" w:rsidR="00372F53" w:rsidRPr="00AC0574" w:rsidRDefault="00372F53" w:rsidP="00372F53">
      <w:pPr>
        <w:spacing w:after="0"/>
        <w:jc w:val="both"/>
        <w:rPr>
          <w:rFonts w:ascii="David" w:hAnsi="David" w:cs="David"/>
          <w:b/>
          <w:bCs/>
          <w:sz w:val="24"/>
          <w:szCs w:val="24"/>
          <w:rtl/>
        </w:rPr>
      </w:pPr>
      <w:r w:rsidRPr="00AC0574">
        <w:rPr>
          <w:rFonts w:ascii="David" w:hAnsi="David" w:cs="David" w:hint="cs"/>
          <w:b/>
          <w:bCs/>
          <w:sz w:val="24"/>
          <w:szCs w:val="24"/>
          <w:rtl/>
        </w:rPr>
        <w:t>פסק ההלכה ברמב"ם</w:t>
      </w:r>
    </w:p>
    <w:p w14:paraId="5217E942"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נבחן כעת את פסק ההלכה ברמב"ם, הל' מלכים פ"ג </w:t>
      </w:r>
      <w:proofErr w:type="spellStart"/>
      <w:r>
        <w:rPr>
          <w:rFonts w:ascii="David" w:hAnsi="David" w:cs="David" w:hint="cs"/>
          <w:sz w:val="24"/>
          <w:szCs w:val="24"/>
          <w:rtl/>
        </w:rPr>
        <w:t>ה"ב</w:t>
      </w:r>
      <w:proofErr w:type="spellEnd"/>
      <w:r>
        <w:rPr>
          <w:rFonts w:ascii="David" w:hAnsi="David" w:cs="David" w:hint="cs"/>
          <w:sz w:val="24"/>
          <w:szCs w:val="24"/>
          <w:rtl/>
        </w:rPr>
        <w:t>:</w:t>
      </w:r>
    </w:p>
    <w:p w14:paraId="7A5C576C" w14:textId="77777777" w:rsidR="00372F53" w:rsidRPr="00AC0574" w:rsidRDefault="00372F53" w:rsidP="00372F53">
      <w:pPr>
        <w:spacing w:after="0"/>
        <w:ind w:left="720"/>
        <w:jc w:val="both"/>
        <w:rPr>
          <w:rFonts w:ascii="David" w:hAnsi="David" w:cs="David"/>
          <w:b/>
          <w:bCs/>
          <w:i/>
          <w:iCs/>
          <w:sz w:val="24"/>
          <w:szCs w:val="24"/>
          <w:rtl/>
        </w:rPr>
      </w:pPr>
      <w:r w:rsidRPr="00AC0574">
        <w:rPr>
          <w:rFonts w:ascii="David" w:hAnsi="David" w:cs="David"/>
          <w:b/>
          <w:bCs/>
          <w:i/>
          <w:iCs/>
          <w:sz w:val="24"/>
          <w:szCs w:val="24"/>
          <w:rtl/>
        </w:rPr>
        <w:t xml:space="preserve">לא ירבה לו נשים, מפי השמועה למדו שהוא לוקח עד שמונה עשרה נשים בין הנשים </w:t>
      </w:r>
      <w:proofErr w:type="spellStart"/>
      <w:r w:rsidRPr="00AC0574">
        <w:rPr>
          <w:rFonts w:ascii="David" w:hAnsi="David" w:cs="David"/>
          <w:b/>
          <w:bCs/>
          <w:i/>
          <w:iCs/>
          <w:sz w:val="24"/>
          <w:szCs w:val="24"/>
          <w:rtl/>
        </w:rPr>
        <w:t>ופלגשים</w:t>
      </w:r>
      <w:proofErr w:type="spellEnd"/>
      <w:r w:rsidRPr="00AC0574">
        <w:rPr>
          <w:rFonts w:ascii="David" w:hAnsi="David" w:cs="David"/>
          <w:b/>
          <w:bCs/>
          <w:i/>
          <w:iCs/>
          <w:sz w:val="24"/>
          <w:szCs w:val="24"/>
          <w:rtl/>
        </w:rPr>
        <w:t xml:space="preserve"> </w:t>
      </w:r>
      <w:proofErr w:type="spellStart"/>
      <w:r w:rsidRPr="00AC0574">
        <w:rPr>
          <w:rFonts w:ascii="David" w:hAnsi="David" w:cs="David"/>
          <w:b/>
          <w:bCs/>
          <w:i/>
          <w:iCs/>
          <w:sz w:val="24"/>
          <w:szCs w:val="24"/>
          <w:rtl/>
        </w:rPr>
        <w:t>הכל</w:t>
      </w:r>
      <w:proofErr w:type="spellEnd"/>
      <w:r w:rsidRPr="00AC0574">
        <w:rPr>
          <w:rFonts w:ascii="David" w:hAnsi="David" w:cs="David"/>
          <w:b/>
          <w:bCs/>
          <w:i/>
          <w:iCs/>
          <w:sz w:val="24"/>
          <w:szCs w:val="24"/>
          <w:rtl/>
        </w:rPr>
        <w:t xml:space="preserve"> שמונה עשרה, ואם הוסיף אחת ובעלה לוקה, ויש לו לגרש </w:t>
      </w:r>
      <w:proofErr w:type="spellStart"/>
      <w:r w:rsidRPr="00AC0574">
        <w:rPr>
          <w:rFonts w:ascii="David" w:hAnsi="David" w:cs="David"/>
          <w:b/>
          <w:bCs/>
          <w:i/>
          <w:iCs/>
          <w:sz w:val="24"/>
          <w:szCs w:val="24"/>
          <w:rtl/>
        </w:rPr>
        <w:t>ולישא</w:t>
      </w:r>
      <w:proofErr w:type="spellEnd"/>
      <w:r w:rsidRPr="00AC0574">
        <w:rPr>
          <w:rFonts w:ascii="David" w:hAnsi="David" w:cs="David"/>
          <w:b/>
          <w:bCs/>
          <w:i/>
          <w:iCs/>
          <w:sz w:val="24"/>
          <w:szCs w:val="24"/>
          <w:rtl/>
        </w:rPr>
        <w:t xml:space="preserve"> אחרת תחת זו שגירש.</w:t>
      </w:r>
    </w:p>
    <w:p w14:paraId="4392D141"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הוא פוסק שאסור למלך להרבות נשים, בין צדיקות ובין מרושעות. אבל כפי שמעיר הרמב"ן בהשגותיו לשורש החמישי זה לא מתאים לאף אחת משיטות התנאים. עולות כאן כמה שאלות: כיצד הרמב"ם למד את הדין הזה? מיהו התנא שעליו הוא מסתמך? ומה יחסו לדרישת טעמא </w:t>
      </w:r>
      <w:proofErr w:type="spellStart"/>
      <w:r>
        <w:rPr>
          <w:rFonts w:ascii="David" w:hAnsi="David" w:cs="David" w:hint="cs"/>
          <w:sz w:val="24"/>
          <w:szCs w:val="24"/>
          <w:rtl/>
        </w:rPr>
        <w:t>דקרא</w:t>
      </w:r>
      <w:proofErr w:type="spellEnd"/>
      <w:r>
        <w:rPr>
          <w:rFonts w:ascii="David" w:hAnsi="David" w:cs="David" w:hint="cs"/>
          <w:sz w:val="24"/>
          <w:szCs w:val="24"/>
          <w:rtl/>
        </w:rPr>
        <w:t>?</w:t>
      </w:r>
    </w:p>
    <w:p w14:paraId="727290BD"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ב</w:t>
      </w:r>
      <w:r w:rsidRPr="00AC0574">
        <w:rPr>
          <w:rFonts w:ascii="David" w:hAnsi="David" w:cs="David" w:hint="cs"/>
          <w:b/>
          <w:bCs/>
          <w:sz w:val="24"/>
          <w:szCs w:val="24"/>
          <w:rtl/>
        </w:rPr>
        <w:t xml:space="preserve">פירוש המשנה </w:t>
      </w:r>
      <w:r>
        <w:rPr>
          <w:rFonts w:ascii="David" w:hAnsi="David" w:cs="David" w:hint="cs"/>
          <w:sz w:val="24"/>
          <w:szCs w:val="24"/>
          <w:rtl/>
        </w:rPr>
        <w:t>בסנהדרין הרמב"ם על משנתנו כותב משפט מוזר מאד:</w:t>
      </w:r>
    </w:p>
    <w:p w14:paraId="3027929B" w14:textId="77777777" w:rsidR="00372F53" w:rsidRPr="00AC0574" w:rsidRDefault="00372F53" w:rsidP="00372F53">
      <w:pPr>
        <w:spacing w:after="0"/>
        <w:ind w:firstLine="720"/>
        <w:jc w:val="both"/>
        <w:rPr>
          <w:rFonts w:ascii="David" w:hAnsi="David" w:cs="David"/>
          <w:b/>
          <w:bCs/>
          <w:i/>
          <w:iCs/>
          <w:sz w:val="24"/>
          <w:szCs w:val="24"/>
          <w:rtl/>
        </w:rPr>
      </w:pPr>
      <w:r w:rsidRPr="00AC0574">
        <w:rPr>
          <w:rFonts w:ascii="David" w:hAnsi="David" w:cs="David"/>
          <w:b/>
          <w:bCs/>
          <w:i/>
          <w:iCs/>
          <w:sz w:val="24"/>
          <w:szCs w:val="24"/>
          <w:rtl/>
        </w:rPr>
        <w:t>ואין הלכה כר' יהודה. ולא כר' שמעון.</w:t>
      </w:r>
    </w:p>
    <w:p w14:paraId="7930062B"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הוא פוסק לא </w:t>
      </w:r>
      <w:proofErr w:type="spellStart"/>
      <w:r>
        <w:rPr>
          <w:rFonts w:ascii="David" w:hAnsi="David" w:cs="David" w:hint="cs"/>
          <w:sz w:val="24"/>
          <w:szCs w:val="24"/>
          <w:rtl/>
        </w:rPr>
        <w:t>כר"י</w:t>
      </w:r>
      <w:proofErr w:type="spellEnd"/>
      <w:r>
        <w:rPr>
          <w:rFonts w:ascii="David" w:hAnsi="David" w:cs="David" w:hint="cs"/>
          <w:sz w:val="24"/>
          <w:szCs w:val="24"/>
          <w:rtl/>
        </w:rPr>
        <w:t xml:space="preserve"> ולא </w:t>
      </w:r>
      <w:proofErr w:type="spellStart"/>
      <w:r>
        <w:rPr>
          <w:rFonts w:ascii="David" w:hAnsi="David" w:cs="David" w:hint="cs"/>
          <w:sz w:val="24"/>
          <w:szCs w:val="24"/>
          <w:rtl/>
        </w:rPr>
        <w:t>כר"ש</w:t>
      </w:r>
      <w:proofErr w:type="spellEnd"/>
      <w:r>
        <w:rPr>
          <w:rFonts w:ascii="David" w:hAnsi="David" w:cs="David" w:hint="cs"/>
          <w:sz w:val="24"/>
          <w:szCs w:val="24"/>
          <w:rtl/>
        </w:rPr>
        <w:t>. זה אמנם מתאים למה שראינו בהלכותיו, אבל לא ברור כיצד הוא מרשה לעצמו לחלוק על כל התנאים. דומני כי זהו רמז שיפתור לנו את כל החידות בדברי הרמב"ם הללו.</w:t>
      </w:r>
    </w:p>
    <w:p w14:paraId="426992DC" w14:textId="77777777" w:rsidR="00372F53" w:rsidRPr="009A7278" w:rsidRDefault="00372F53" w:rsidP="00372F53">
      <w:pPr>
        <w:spacing w:after="0"/>
        <w:jc w:val="both"/>
        <w:rPr>
          <w:rFonts w:ascii="David" w:hAnsi="David" w:cs="David"/>
          <w:b/>
          <w:bCs/>
          <w:i/>
          <w:iCs/>
          <w:sz w:val="24"/>
          <w:szCs w:val="24"/>
          <w:rtl/>
        </w:rPr>
      </w:pPr>
      <w:r>
        <w:rPr>
          <w:rFonts w:ascii="David" w:hAnsi="David" w:cs="David" w:hint="cs"/>
          <w:sz w:val="24"/>
          <w:szCs w:val="24"/>
          <w:rtl/>
        </w:rPr>
        <w:t xml:space="preserve">רוב הראשונים (כמו הרמב"ן בהשגות הנ"ל) קוראים את המשנה כפתיח: </w:t>
      </w:r>
      <w:r w:rsidRPr="009A7278">
        <w:rPr>
          <w:rFonts w:ascii="David" w:hAnsi="David" w:cs="David"/>
          <w:b/>
          <w:bCs/>
          <w:i/>
          <w:iCs/>
          <w:sz w:val="24"/>
          <w:szCs w:val="24"/>
          <w:rtl/>
        </w:rPr>
        <w:t>לא ירבה לו נשים אלא שמנה עשרה</w:t>
      </w:r>
      <w:r>
        <w:rPr>
          <w:rFonts w:ascii="David" w:hAnsi="David" w:cs="David" w:hint="cs"/>
          <w:b/>
          <w:bCs/>
          <w:i/>
          <w:iCs/>
          <w:sz w:val="24"/>
          <w:szCs w:val="24"/>
          <w:rtl/>
        </w:rPr>
        <w:t xml:space="preserve">, </w:t>
      </w:r>
      <w:r>
        <w:rPr>
          <w:rFonts w:ascii="David" w:hAnsi="David" w:cs="David" w:hint="cs"/>
          <w:sz w:val="24"/>
          <w:szCs w:val="24"/>
          <w:rtl/>
        </w:rPr>
        <w:t xml:space="preserve">שאחריו מובאת מחלוקת בין שני תנאים: </w:t>
      </w:r>
      <w:r w:rsidRPr="009A7278">
        <w:rPr>
          <w:rFonts w:ascii="David" w:hAnsi="David" w:cs="David"/>
          <w:b/>
          <w:bCs/>
          <w:i/>
          <w:iCs/>
          <w:sz w:val="24"/>
          <w:szCs w:val="24"/>
          <w:rtl/>
        </w:rPr>
        <w:t xml:space="preserve"> רבי יהודה אומר מרבה הוא לו ובלבד שלא </w:t>
      </w:r>
      <w:proofErr w:type="spellStart"/>
      <w:r w:rsidRPr="009A7278">
        <w:rPr>
          <w:rFonts w:ascii="David" w:hAnsi="David" w:cs="David"/>
          <w:b/>
          <w:bCs/>
          <w:i/>
          <w:iCs/>
          <w:sz w:val="24"/>
          <w:szCs w:val="24"/>
          <w:rtl/>
        </w:rPr>
        <w:t>יהו</w:t>
      </w:r>
      <w:proofErr w:type="spellEnd"/>
      <w:r w:rsidRPr="009A7278">
        <w:rPr>
          <w:rFonts w:ascii="David" w:hAnsi="David" w:cs="David"/>
          <w:b/>
          <w:bCs/>
          <w:i/>
          <w:iCs/>
          <w:sz w:val="24"/>
          <w:szCs w:val="24"/>
          <w:rtl/>
        </w:rPr>
        <w:t xml:space="preserve"> מסירות את לבו רבי שמעון אומר אפילו אחת ומסירה את לבו הרי זה לא </w:t>
      </w:r>
      <w:proofErr w:type="spellStart"/>
      <w:r w:rsidRPr="009A7278">
        <w:rPr>
          <w:rFonts w:ascii="David" w:hAnsi="David" w:cs="David"/>
          <w:b/>
          <w:bCs/>
          <w:i/>
          <w:iCs/>
          <w:sz w:val="24"/>
          <w:szCs w:val="24"/>
          <w:rtl/>
        </w:rPr>
        <w:t>ישאנה</w:t>
      </w:r>
      <w:proofErr w:type="spellEnd"/>
      <w:r w:rsidRPr="009A7278">
        <w:rPr>
          <w:rFonts w:ascii="David" w:hAnsi="David" w:cs="David"/>
          <w:b/>
          <w:bCs/>
          <w:i/>
          <w:iCs/>
          <w:sz w:val="24"/>
          <w:szCs w:val="24"/>
          <w:rtl/>
        </w:rPr>
        <w:t xml:space="preserve"> אם כן למה נאמר לא ירבה לו נשים </w:t>
      </w:r>
      <w:proofErr w:type="spellStart"/>
      <w:r w:rsidRPr="009A7278">
        <w:rPr>
          <w:rFonts w:ascii="David" w:hAnsi="David" w:cs="David"/>
          <w:b/>
          <w:bCs/>
          <w:i/>
          <w:iCs/>
          <w:sz w:val="24"/>
          <w:szCs w:val="24"/>
          <w:rtl/>
        </w:rPr>
        <w:t>דאפילו</w:t>
      </w:r>
      <w:proofErr w:type="spellEnd"/>
      <w:r w:rsidRPr="009A7278">
        <w:rPr>
          <w:rFonts w:ascii="David" w:hAnsi="David" w:cs="David"/>
          <w:b/>
          <w:bCs/>
          <w:i/>
          <w:iCs/>
          <w:sz w:val="24"/>
          <w:szCs w:val="24"/>
          <w:rtl/>
        </w:rPr>
        <w:t xml:space="preserve"> כאביגיל:</w:t>
      </w:r>
    </w:p>
    <w:p w14:paraId="6733E9D8"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lastRenderedPageBreak/>
        <w:t xml:space="preserve">אבל הרמב"ם לא רואה כאן פתיח אלא דעה נוספת של ת"ק. לדעתו יש במשנה שלוש דעות ולא שתיים: ת"ק סובר שלא מרבים נשים משום סוג (לא צדיקות ולא מרושעות). אחריו באות עוד שתי דעות, ר"י </w:t>
      </w:r>
      <w:proofErr w:type="spellStart"/>
      <w:r>
        <w:rPr>
          <w:rFonts w:ascii="David" w:hAnsi="David" w:cs="David" w:hint="cs"/>
          <w:sz w:val="24"/>
          <w:szCs w:val="24"/>
          <w:rtl/>
        </w:rPr>
        <w:t>ור"ש</w:t>
      </w:r>
      <w:proofErr w:type="spellEnd"/>
      <w:r>
        <w:rPr>
          <w:rFonts w:ascii="David" w:hAnsi="David" w:cs="David" w:hint="cs"/>
          <w:sz w:val="24"/>
          <w:szCs w:val="24"/>
          <w:rtl/>
        </w:rPr>
        <w:t xml:space="preserve">, שאותן כבר תיארנו. הרמב"ם פוסק </w:t>
      </w:r>
      <w:proofErr w:type="spellStart"/>
      <w:r>
        <w:rPr>
          <w:rFonts w:ascii="David" w:hAnsi="David" w:cs="David" w:hint="cs"/>
          <w:sz w:val="24"/>
          <w:szCs w:val="24"/>
          <w:rtl/>
        </w:rPr>
        <w:t>כת"ק</w:t>
      </w:r>
      <w:proofErr w:type="spellEnd"/>
      <w:r>
        <w:rPr>
          <w:rFonts w:ascii="David" w:hAnsi="David" w:cs="David" w:hint="cs"/>
          <w:sz w:val="24"/>
          <w:szCs w:val="24"/>
          <w:rtl/>
        </w:rPr>
        <w:t xml:space="preserve"> ולא כרבי יהודה.</w:t>
      </w:r>
    </w:p>
    <w:p w14:paraId="4D9F0133"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כבר הזכרתי שבסוגיית דרישת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הרמב"ם פוסק במפורש </w:t>
      </w:r>
      <w:proofErr w:type="spellStart"/>
      <w:r>
        <w:rPr>
          <w:rFonts w:ascii="David" w:hAnsi="David" w:cs="David" w:hint="cs"/>
          <w:sz w:val="24"/>
          <w:szCs w:val="24"/>
          <w:rtl/>
        </w:rPr>
        <w:t>כר"י</w:t>
      </w:r>
      <w:proofErr w:type="spellEnd"/>
      <w:r>
        <w:rPr>
          <w:rFonts w:ascii="David" w:hAnsi="David" w:cs="David" w:hint="cs"/>
          <w:sz w:val="24"/>
          <w:szCs w:val="24"/>
          <w:rtl/>
        </w:rPr>
        <w:t xml:space="preserve"> (שלא חובלים בגד אלמנה, גם אם היא עשירה), אבל כאן הוא סוטה מדרכו ופוסק </w:t>
      </w:r>
      <w:proofErr w:type="spellStart"/>
      <w:r>
        <w:rPr>
          <w:rFonts w:ascii="David" w:hAnsi="David" w:cs="David" w:hint="cs"/>
          <w:sz w:val="24"/>
          <w:szCs w:val="24"/>
          <w:rtl/>
        </w:rPr>
        <w:t>כת"ק</w:t>
      </w:r>
      <w:proofErr w:type="spellEnd"/>
      <w:r>
        <w:rPr>
          <w:rFonts w:ascii="David" w:hAnsi="David" w:cs="David" w:hint="cs"/>
          <w:sz w:val="24"/>
          <w:szCs w:val="24"/>
          <w:rtl/>
        </w:rPr>
        <w:t xml:space="preserve"> ולא </w:t>
      </w:r>
      <w:proofErr w:type="spellStart"/>
      <w:r>
        <w:rPr>
          <w:rFonts w:ascii="David" w:hAnsi="David" w:cs="David" w:hint="cs"/>
          <w:sz w:val="24"/>
          <w:szCs w:val="24"/>
          <w:rtl/>
        </w:rPr>
        <w:t>כר"י</w:t>
      </w:r>
      <w:proofErr w:type="spellEnd"/>
      <w:r>
        <w:rPr>
          <w:rFonts w:ascii="David" w:hAnsi="David" w:cs="David" w:hint="cs"/>
          <w:sz w:val="24"/>
          <w:szCs w:val="24"/>
          <w:rtl/>
        </w:rPr>
        <w:t xml:space="preserve">. טענתי היא שהוא לא פסוק בשום מקום כרבי יהודה אלא תמיד </w:t>
      </w:r>
      <w:proofErr w:type="spellStart"/>
      <w:r>
        <w:rPr>
          <w:rFonts w:ascii="David" w:hAnsi="David" w:cs="David" w:hint="cs"/>
          <w:sz w:val="24"/>
          <w:szCs w:val="24"/>
          <w:rtl/>
        </w:rPr>
        <w:t>כת"ק</w:t>
      </w:r>
      <w:proofErr w:type="spellEnd"/>
      <w:r>
        <w:rPr>
          <w:rFonts w:ascii="David" w:hAnsi="David" w:cs="David" w:hint="cs"/>
          <w:sz w:val="24"/>
          <w:szCs w:val="24"/>
          <w:rtl/>
        </w:rPr>
        <w:t xml:space="preserve">. כדי להבין זאת אסביר את יסוד שיטתו של ת"ק, ושל הרמב"ם שהולך בעקבותיו. </w:t>
      </w:r>
    </w:p>
    <w:p w14:paraId="67FDD36C"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ראינו למעלה </w:t>
      </w:r>
      <w:proofErr w:type="spellStart"/>
      <w:r>
        <w:rPr>
          <w:rFonts w:ascii="David" w:hAnsi="David" w:cs="David" w:hint="cs"/>
          <w:sz w:val="24"/>
          <w:szCs w:val="24"/>
          <w:rtl/>
        </w:rPr>
        <w:t>שר"י</w:t>
      </w:r>
      <w:proofErr w:type="spellEnd"/>
      <w:r>
        <w:rPr>
          <w:rFonts w:ascii="David" w:hAnsi="David" w:cs="David" w:hint="cs"/>
          <w:sz w:val="24"/>
          <w:szCs w:val="24"/>
          <w:rtl/>
        </w:rPr>
        <w:t xml:space="preserve"> לא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כי יש לו חשש שמא לא  נקלע לטעם הנכון (שנטעה בפרשנות התכליתית שלנו). לכן כשהטעם כתוב בפירוש בפסוק הוא כן דורש ומפרש אותו בפרשנות תכליתית. אבל ת"ק לא דורש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גם כשאין חשש לטעות, כלומר גם כאשר הטעם כתוב בפירוש בפסוק. לכן גם במקרה של ריבוי נשים למלך, שבו הטעם מופיע בפירוש  בפסוק, ת"ק אינו דורש את הטעם.</w:t>
      </w:r>
    </w:p>
    <w:p w14:paraId="0FA4C488"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הרמב"ם, כאמור, פוסק </w:t>
      </w:r>
      <w:proofErr w:type="spellStart"/>
      <w:r>
        <w:rPr>
          <w:rFonts w:ascii="David" w:hAnsi="David" w:cs="David" w:hint="cs"/>
          <w:sz w:val="24"/>
          <w:szCs w:val="24"/>
          <w:rtl/>
        </w:rPr>
        <w:t>כת"ק</w:t>
      </w:r>
      <w:proofErr w:type="spellEnd"/>
      <w:r>
        <w:rPr>
          <w:rFonts w:ascii="David" w:hAnsi="David" w:cs="David" w:hint="cs"/>
          <w:sz w:val="24"/>
          <w:szCs w:val="24"/>
          <w:rtl/>
        </w:rPr>
        <w:t xml:space="preserve">, שלא דורשים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לא בגלל החשש שמא טעינו, אלא יש כלל שלא דורשים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בלי קשר לחשש מטעות. לכן הוא לא דורש את הטעם בין כשהטעם כתוב (כמו במלך) ובין כשהטעם לא כתוב (כמו באלמנה). בניגוד למה שחושבים בדרך כלל, בסוגיית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הרמב"ם לא פוסק </w:t>
      </w:r>
      <w:proofErr w:type="spellStart"/>
      <w:r>
        <w:rPr>
          <w:rFonts w:ascii="David" w:hAnsi="David" w:cs="David" w:hint="cs"/>
          <w:sz w:val="24"/>
          <w:szCs w:val="24"/>
          <w:rtl/>
        </w:rPr>
        <w:t>כר"י</w:t>
      </w:r>
      <w:proofErr w:type="spellEnd"/>
      <w:r>
        <w:rPr>
          <w:rFonts w:ascii="David" w:hAnsi="David" w:cs="David" w:hint="cs"/>
          <w:sz w:val="24"/>
          <w:szCs w:val="24"/>
          <w:rtl/>
        </w:rPr>
        <w:t xml:space="preserve"> אלא </w:t>
      </w:r>
      <w:proofErr w:type="spellStart"/>
      <w:r>
        <w:rPr>
          <w:rFonts w:ascii="David" w:hAnsi="David" w:cs="David" w:hint="cs"/>
          <w:sz w:val="24"/>
          <w:szCs w:val="24"/>
          <w:rtl/>
        </w:rPr>
        <w:t>כת"ק</w:t>
      </w:r>
      <w:proofErr w:type="spellEnd"/>
      <w:r>
        <w:rPr>
          <w:rFonts w:ascii="David" w:hAnsi="David" w:cs="David" w:hint="cs"/>
          <w:sz w:val="24"/>
          <w:szCs w:val="24"/>
          <w:rtl/>
        </w:rPr>
        <w:t>.</w:t>
      </w:r>
    </w:p>
    <w:p w14:paraId="3F145745" w14:textId="77777777" w:rsidR="00372F53" w:rsidRDefault="00372F53" w:rsidP="00372F53">
      <w:pPr>
        <w:spacing w:after="0"/>
        <w:jc w:val="both"/>
        <w:rPr>
          <w:rFonts w:ascii="David" w:hAnsi="David" w:cs="David"/>
          <w:sz w:val="24"/>
          <w:szCs w:val="24"/>
          <w:rtl/>
        </w:rPr>
      </w:pPr>
    </w:p>
    <w:p w14:paraId="0A64BEF2" w14:textId="77777777" w:rsidR="00372F53" w:rsidRPr="00193614" w:rsidRDefault="00372F53" w:rsidP="00372F53">
      <w:pPr>
        <w:spacing w:after="0"/>
        <w:jc w:val="both"/>
        <w:rPr>
          <w:rFonts w:ascii="David" w:hAnsi="David" w:cs="David"/>
          <w:b/>
          <w:bCs/>
          <w:sz w:val="24"/>
          <w:szCs w:val="24"/>
          <w:rtl/>
        </w:rPr>
      </w:pPr>
      <w:r w:rsidRPr="00193614">
        <w:rPr>
          <w:rFonts w:ascii="David" w:hAnsi="David" w:cs="David" w:hint="cs"/>
          <w:b/>
          <w:bCs/>
          <w:sz w:val="24"/>
          <w:szCs w:val="24"/>
          <w:rtl/>
        </w:rPr>
        <w:t>יסוד שיטתו של ת"ק</w:t>
      </w:r>
      <w:r>
        <w:rPr>
          <w:rFonts w:ascii="David" w:hAnsi="David" w:cs="David" w:hint="cs"/>
          <w:b/>
          <w:bCs/>
          <w:sz w:val="24"/>
          <w:szCs w:val="24"/>
          <w:rtl/>
        </w:rPr>
        <w:t xml:space="preserve">: למה לא דורשים טעמא </w:t>
      </w:r>
      <w:proofErr w:type="spellStart"/>
      <w:r>
        <w:rPr>
          <w:rFonts w:ascii="David" w:hAnsi="David" w:cs="David" w:hint="cs"/>
          <w:b/>
          <w:bCs/>
          <w:sz w:val="24"/>
          <w:szCs w:val="24"/>
          <w:rtl/>
        </w:rPr>
        <w:t>דקרא</w:t>
      </w:r>
      <w:proofErr w:type="spellEnd"/>
    </w:p>
    <w:p w14:paraId="55FE0B53"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מדוע באמת ת"ק לא דורש טעמא </w:t>
      </w:r>
      <w:proofErr w:type="spellStart"/>
      <w:r>
        <w:rPr>
          <w:rFonts w:ascii="David" w:hAnsi="David" w:cs="David" w:hint="cs"/>
          <w:sz w:val="24"/>
          <w:szCs w:val="24"/>
          <w:rtl/>
        </w:rPr>
        <w:t>דקרא</w:t>
      </w:r>
      <w:proofErr w:type="spellEnd"/>
      <w:r>
        <w:rPr>
          <w:rFonts w:ascii="David" w:hAnsi="David" w:cs="David" w:hint="cs"/>
          <w:sz w:val="24"/>
          <w:szCs w:val="24"/>
          <w:rtl/>
        </w:rPr>
        <w:t>? אם אין לו חשש מטעות (כמו במקרים שהטעם כתוב בפירוש בפסוק), אז מדוע לא להתחשב בטעם בבואנו לעצב את ההלכה? הדברים תמוהים בפרט כאשר הטעם כתוב בפירוש. יתר על כן, האם לדעתו התורה כתבה סתם את הטעם? מה הייתה מטרתה?</w:t>
      </w:r>
    </w:p>
    <w:p w14:paraId="0E055EF3"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דומני שההסבר הוא זה. כאשר אנחנו דנים האם לדרוש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זה תמיד במצב שבו קיים מתח בין לשון הכתוב לבין טעמו. אם ישנה הלימה מלאה ביניהם, לא מתעוררת הדילמה האם לדרוש טעמא </w:t>
      </w:r>
      <w:proofErr w:type="spellStart"/>
      <w:r>
        <w:rPr>
          <w:rFonts w:ascii="David" w:hAnsi="David" w:cs="David" w:hint="cs"/>
          <w:sz w:val="24"/>
          <w:szCs w:val="24"/>
          <w:rtl/>
        </w:rPr>
        <w:t>דקרא</w:t>
      </w:r>
      <w:proofErr w:type="spellEnd"/>
      <w:r>
        <w:rPr>
          <w:rFonts w:ascii="David" w:hAnsi="David" w:cs="David" w:hint="cs"/>
          <w:sz w:val="24"/>
          <w:szCs w:val="24"/>
          <w:rtl/>
        </w:rPr>
        <w:t>, כי בין אם נדרוש ובין אם לאו נגיע לאותה תוצאה. לדוגמה, האיסור לחבול בגד אלמנה מנוסח לגבי כל אלמנה. לכן מלשון הפסוק עולה שהאיסור הוא בכל אלמנה. אבל מדרישת הטעם יוצא שזה רק באלמנה עשירה. נוצר כאן מתח, ולכן יש מחלוקת האם ללכת אחרי לשון הפסוק או אחרי הטעם. כך גם לגבי מלך. מלשון הכתוב אסור ריבוי של כל  סוג נשים, ומהטעם יוצא שהאיסור הוא רק בנשים מרושעות. שוב נוצר מתח, ושוב מתעורר הוויכוח האם ללכת אחרי לשון הפסוק או הטעם (שבמקרה זה כתוב בפירוש בתורה).</w:t>
      </w:r>
    </w:p>
    <w:p w14:paraId="7F18440D"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רצוני לטעון ת"ק סובר שהסיבה שלא דורשים טעמא </w:t>
      </w:r>
      <w:proofErr w:type="spellStart"/>
      <w:r>
        <w:rPr>
          <w:rFonts w:ascii="David" w:hAnsi="David" w:cs="David" w:hint="cs"/>
          <w:sz w:val="24"/>
          <w:szCs w:val="24"/>
          <w:rtl/>
        </w:rPr>
        <w:t>דקרא</w:t>
      </w:r>
      <w:proofErr w:type="spellEnd"/>
      <w:r>
        <w:rPr>
          <w:rFonts w:ascii="David" w:hAnsi="David" w:cs="David" w:hint="cs"/>
          <w:sz w:val="24"/>
          <w:szCs w:val="24"/>
          <w:rtl/>
        </w:rPr>
        <w:t xml:space="preserve"> היא ההנחה שהניסוח של התורה הוא שלם ואין בו טעות. ומכאן, שאם נוצר מתח בין הפסוק לטעם כנראה לא הבנו נכון את הטעם. לכן במצבים כאלה יש ללכת אחרי לשון הפסוק ולא אחרי הטעם. ניטול כדוגמה את ריבוי הנשים. כאמור, במקרה זה הטעם כתוב בפירוש בתורה ולכאורה אין חשש שלא הבנו נכון. כעת אראה לכם שגם במקרה כזה החשש לטעות קיים. הפרשנות שהציע רבי יהודה לטעם, היא שאסור להרבות רק נשים מרושעות כי רק הן מסירות את לבו. ת"ק טוען שלשיטתו הניסוח של הפסוק יוצא לא מדויק, שהרי הפסוק אוסר ריבוי של כל סוג נשים. לכן טוען ת"ק שבהכרח רבי יהודה לא הבין נכון את הטעם. מה שמסיר את ליבו של המלך אינו </w:t>
      </w:r>
      <w:proofErr w:type="spellStart"/>
      <w:r>
        <w:rPr>
          <w:rFonts w:ascii="David" w:hAnsi="David" w:cs="David" w:hint="cs"/>
          <w:sz w:val="24"/>
          <w:szCs w:val="24"/>
          <w:rtl/>
        </w:rPr>
        <w:t>הרישעות</w:t>
      </w:r>
      <w:proofErr w:type="spellEnd"/>
      <w:r>
        <w:rPr>
          <w:rFonts w:ascii="David" w:hAnsi="David" w:cs="David" w:hint="cs"/>
          <w:sz w:val="24"/>
          <w:szCs w:val="24"/>
          <w:rtl/>
        </w:rPr>
        <w:t xml:space="preserve"> של הנשים (אחרת באמת אסור היה לשאת גם אחת כזאת), אלא עצם ריבוי הנשים. מלך שבהרמונו יש הרבה נשים עוסק כל זמנו בהן במקום לעסוק בדברים שהוא צריך לעסוק, ובכך סר לבבו. אם מבינים כך את פסוק הטעם, המסקנה היא שאסור להרבות נשים מכל סוג, צדיקות או מרושעות. זו שיטת ת"ק וכך גם פוסק הרמב"ם.</w:t>
      </w:r>
    </w:p>
    <w:p w14:paraId="60F79444" w14:textId="77777777" w:rsidR="00372F53" w:rsidRDefault="00372F53" w:rsidP="00372F53">
      <w:pPr>
        <w:spacing w:after="0"/>
        <w:jc w:val="both"/>
        <w:rPr>
          <w:rFonts w:ascii="David" w:hAnsi="David" w:cs="David"/>
          <w:sz w:val="24"/>
          <w:szCs w:val="24"/>
          <w:rtl/>
        </w:rPr>
      </w:pPr>
    </w:p>
    <w:p w14:paraId="14FFE420" w14:textId="77777777" w:rsidR="00372F53" w:rsidRPr="000F7AF5" w:rsidRDefault="00372F53" w:rsidP="00372F53">
      <w:pPr>
        <w:spacing w:after="0"/>
        <w:jc w:val="both"/>
        <w:rPr>
          <w:rFonts w:ascii="David" w:hAnsi="David" w:cs="David"/>
          <w:b/>
          <w:bCs/>
          <w:sz w:val="24"/>
          <w:szCs w:val="24"/>
          <w:rtl/>
        </w:rPr>
      </w:pPr>
      <w:r w:rsidRPr="000F7AF5">
        <w:rPr>
          <w:rFonts w:ascii="David" w:hAnsi="David" w:cs="David" w:hint="cs"/>
          <w:b/>
          <w:bCs/>
          <w:sz w:val="24"/>
          <w:szCs w:val="24"/>
          <w:rtl/>
        </w:rPr>
        <w:t>סיכום המחלוקת</w:t>
      </w:r>
      <w:r>
        <w:rPr>
          <w:rFonts w:ascii="David" w:hAnsi="David" w:cs="David" w:hint="cs"/>
          <w:b/>
          <w:bCs/>
          <w:sz w:val="24"/>
          <w:szCs w:val="24"/>
          <w:rtl/>
        </w:rPr>
        <w:t>: האם כל פסוק בא ללמד הלכה?</w:t>
      </w:r>
    </w:p>
    <w:p w14:paraId="37DF56EC"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למדנו מכאן שגם אם הטעם כתוב בפירוש בתורה, אמנם אין חשש שנעלה בחכתנו טעם לא נכון, אבל עדיין יש חשש שנבין לא נכון את הטעם הכתוב ונסיק ממנו מסקנות הלכתיות לא נכונות. לכן תמיד עדיף להיצמד ללשון הפסוק, שכן היא תמיד מדויקת. זו הסיבה שלא דורשים טעמא </w:t>
      </w:r>
      <w:proofErr w:type="spellStart"/>
      <w:r>
        <w:rPr>
          <w:rFonts w:ascii="David" w:hAnsi="David" w:cs="David" w:hint="cs"/>
          <w:sz w:val="24"/>
          <w:szCs w:val="24"/>
          <w:rtl/>
        </w:rPr>
        <w:t>דקרא</w:t>
      </w:r>
      <w:proofErr w:type="spellEnd"/>
      <w:r>
        <w:rPr>
          <w:rFonts w:ascii="David" w:hAnsi="David" w:cs="David" w:hint="cs"/>
          <w:sz w:val="24"/>
          <w:szCs w:val="24"/>
          <w:rtl/>
        </w:rPr>
        <w:t>, ולכן זה נכון גם כשהטעם כתוב בפירוש בפסוק. אז למה נכתב הטעם? כדי ללמד אותנו מה טעם המצווה (כמו שכותב הרמב"ם עצמו בשורש החמישי). שנה וקבל שכר. טענתו של ת"ק, והרמב"ם בעקבותיו, היא שלא כל פסוק בא ללמד הלכות. לפעמים פסוקים מלמדים רעיונות ותובנות אחרות, בפרט פסוקי טעם.</w:t>
      </w:r>
    </w:p>
    <w:p w14:paraId="0E167786" w14:textId="77777777" w:rsidR="00372F53" w:rsidRDefault="00372F53" w:rsidP="00372F53">
      <w:pPr>
        <w:spacing w:after="0"/>
        <w:jc w:val="both"/>
        <w:rPr>
          <w:rFonts w:ascii="David" w:hAnsi="David" w:cs="David"/>
          <w:sz w:val="24"/>
          <w:szCs w:val="24"/>
          <w:rtl/>
        </w:rPr>
      </w:pPr>
      <w:r>
        <w:rPr>
          <w:rFonts w:ascii="David" w:hAnsi="David" w:cs="David" w:hint="cs"/>
          <w:sz w:val="24"/>
          <w:szCs w:val="24"/>
          <w:rtl/>
        </w:rPr>
        <w:t xml:space="preserve">טענתו של הרמב"ם בשורש החמישי היא בדיוק זו: פסוקי טעם לא באו ללמד הלכות. הרמב"ן בהשגות שם, למד </w:t>
      </w:r>
      <w:proofErr w:type="spellStart"/>
      <w:r>
        <w:rPr>
          <w:rFonts w:ascii="David" w:hAnsi="David" w:cs="David" w:hint="cs"/>
          <w:sz w:val="24"/>
          <w:szCs w:val="24"/>
          <w:rtl/>
        </w:rPr>
        <w:t>מהסוגיא</w:t>
      </w:r>
      <w:proofErr w:type="spellEnd"/>
      <w:r>
        <w:rPr>
          <w:rFonts w:ascii="David" w:hAnsi="David" w:cs="David" w:hint="cs"/>
          <w:sz w:val="24"/>
          <w:szCs w:val="24"/>
          <w:rtl/>
        </w:rPr>
        <w:t xml:space="preserve"> הזאת שהן </w:t>
      </w:r>
      <w:proofErr w:type="spellStart"/>
      <w:r>
        <w:rPr>
          <w:rFonts w:ascii="David" w:hAnsi="David" w:cs="David" w:hint="cs"/>
          <w:sz w:val="24"/>
          <w:szCs w:val="24"/>
          <w:rtl/>
        </w:rPr>
        <w:t>לר"י</w:t>
      </w:r>
      <w:proofErr w:type="spellEnd"/>
      <w:r>
        <w:rPr>
          <w:rFonts w:ascii="David" w:hAnsi="David" w:cs="David" w:hint="cs"/>
          <w:sz w:val="24"/>
          <w:szCs w:val="24"/>
          <w:rtl/>
        </w:rPr>
        <w:t xml:space="preserve"> והן </w:t>
      </w:r>
      <w:proofErr w:type="spellStart"/>
      <w:r>
        <w:rPr>
          <w:rFonts w:ascii="David" w:hAnsi="David" w:cs="David" w:hint="cs"/>
          <w:sz w:val="24"/>
          <w:szCs w:val="24"/>
          <w:rtl/>
        </w:rPr>
        <w:t>לר"ש</w:t>
      </w:r>
      <w:proofErr w:type="spellEnd"/>
      <w:r>
        <w:rPr>
          <w:rFonts w:ascii="David" w:hAnsi="David" w:cs="David" w:hint="cs"/>
          <w:sz w:val="24"/>
          <w:szCs w:val="24"/>
          <w:rtl/>
        </w:rPr>
        <w:t xml:space="preserve"> פסוק הטעם בא ללמד הלכות (הוויכוח ביניהם הוא רק אלו הלכות), ולכן לדעתו אין פסוקים (לפחות כאלו שכתובים בהקשר הלכתי) שלא באו ללמד הלכה אלא משהו רעיוני. זה מה שהוא טוען כנגד דברי הרמב"ם שם. הרמב"ן חשב שאם יש </w:t>
      </w:r>
      <w:proofErr w:type="spellStart"/>
      <w:r>
        <w:rPr>
          <w:rFonts w:ascii="David" w:hAnsi="David" w:cs="David" w:hint="cs"/>
          <w:sz w:val="24"/>
          <w:szCs w:val="24"/>
          <w:rtl/>
        </w:rPr>
        <w:t>קוצנזוס</w:t>
      </w:r>
      <w:proofErr w:type="spellEnd"/>
      <w:r>
        <w:rPr>
          <w:rFonts w:ascii="David" w:hAnsi="David" w:cs="David" w:hint="cs"/>
          <w:sz w:val="24"/>
          <w:szCs w:val="24"/>
          <w:rtl/>
        </w:rPr>
        <w:t xml:space="preserve"> בין ר"י </w:t>
      </w:r>
      <w:proofErr w:type="spellStart"/>
      <w:r>
        <w:rPr>
          <w:rFonts w:ascii="David" w:hAnsi="David" w:cs="David" w:hint="cs"/>
          <w:sz w:val="24"/>
          <w:szCs w:val="24"/>
          <w:rtl/>
        </w:rPr>
        <w:t>לר"ש</w:t>
      </w:r>
      <w:proofErr w:type="spellEnd"/>
      <w:r>
        <w:rPr>
          <w:rFonts w:ascii="David" w:hAnsi="David" w:cs="David" w:hint="cs"/>
          <w:sz w:val="24"/>
          <w:szCs w:val="24"/>
          <w:rtl/>
        </w:rPr>
        <w:t xml:space="preserve"> אין אפשרות לא לקבל את המסקנה הזאת. אבל הרמב"ם טוען כנגדו שיש כאן שיטה </w:t>
      </w:r>
      <w:proofErr w:type="spellStart"/>
      <w:r>
        <w:rPr>
          <w:rFonts w:ascii="David" w:hAnsi="David" w:cs="David" w:hint="cs"/>
          <w:sz w:val="24"/>
          <w:szCs w:val="24"/>
          <w:rtl/>
        </w:rPr>
        <w:t>תנאית</w:t>
      </w:r>
      <w:proofErr w:type="spellEnd"/>
      <w:r>
        <w:rPr>
          <w:rFonts w:ascii="David" w:hAnsi="David" w:cs="David" w:hint="cs"/>
          <w:sz w:val="24"/>
          <w:szCs w:val="24"/>
          <w:rtl/>
        </w:rPr>
        <w:t xml:space="preserve"> שלישית, ושהלכה כמותה. לשיטה זו, בניגוד לקונצנזוס בין ר"י </w:t>
      </w:r>
      <w:proofErr w:type="spellStart"/>
      <w:r>
        <w:rPr>
          <w:rFonts w:ascii="David" w:hAnsi="David" w:cs="David" w:hint="cs"/>
          <w:sz w:val="24"/>
          <w:szCs w:val="24"/>
          <w:rtl/>
        </w:rPr>
        <w:t>לר"ש</w:t>
      </w:r>
      <w:proofErr w:type="spellEnd"/>
      <w:r>
        <w:rPr>
          <w:rFonts w:ascii="David" w:hAnsi="David" w:cs="David" w:hint="cs"/>
          <w:sz w:val="24"/>
          <w:szCs w:val="24"/>
          <w:rtl/>
        </w:rPr>
        <w:t>, פסוקי טעם לא באו ללמד הלכה.</w:t>
      </w:r>
    </w:p>
    <w:p w14:paraId="0EF416B7" w14:textId="77777777" w:rsidR="00372F53" w:rsidRDefault="00372F53" w:rsidP="00372F53">
      <w:pPr>
        <w:spacing w:after="0"/>
        <w:jc w:val="both"/>
        <w:rPr>
          <w:rFonts w:ascii="David" w:hAnsi="David" w:cs="David"/>
          <w:sz w:val="24"/>
          <w:szCs w:val="24"/>
          <w:rtl/>
        </w:rPr>
      </w:pPr>
    </w:p>
    <w:p w14:paraId="45182573" w14:textId="77777777" w:rsidR="00372F53" w:rsidRPr="000F7AF5" w:rsidRDefault="00372F53" w:rsidP="00372F53">
      <w:pPr>
        <w:spacing w:after="0"/>
        <w:jc w:val="both"/>
        <w:rPr>
          <w:rFonts w:ascii="David" w:hAnsi="David" w:cs="David"/>
          <w:b/>
          <w:bCs/>
          <w:sz w:val="24"/>
          <w:szCs w:val="24"/>
          <w:rtl/>
        </w:rPr>
      </w:pPr>
      <w:r w:rsidRPr="000F7AF5">
        <w:rPr>
          <w:rFonts w:ascii="David" w:hAnsi="David" w:cs="David" w:hint="cs"/>
          <w:b/>
          <w:bCs/>
          <w:sz w:val="24"/>
          <w:szCs w:val="24"/>
          <w:rtl/>
        </w:rPr>
        <w:t>בחזרה לפרה אדומה</w:t>
      </w:r>
    </w:p>
    <w:p w14:paraId="4A6184BE" w14:textId="77777777" w:rsidR="00372F53" w:rsidRPr="009A7278" w:rsidRDefault="00372F53" w:rsidP="00372F53">
      <w:pPr>
        <w:spacing w:after="0"/>
        <w:jc w:val="both"/>
        <w:rPr>
          <w:rFonts w:ascii="David" w:hAnsi="David" w:cs="David"/>
          <w:sz w:val="24"/>
          <w:szCs w:val="24"/>
        </w:rPr>
      </w:pPr>
      <w:r>
        <w:rPr>
          <w:rFonts w:ascii="David" w:hAnsi="David" w:cs="David" w:hint="cs"/>
          <w:sz w:val="24"/>
          <w:szCs w:val="24"/>
          <w:rtl/>
        </w:rPr>
        <w:t>כאמור, בפרה אדומה לא כתוב הטעם, וישנם קשיים וסתירות בגדרי המצווה, ולכן קשה לנו להבין או לדרוש אותו. לכן שם הסיכוי לטעות ודאי קיים, אלא שהדיון שם אינו בדרישת הטעם (שהרי איננו יודעים את הטעם) אלא בחשש שנבוא להרהר אחר המצווה (בדיוק בגלל היעדר הטעם). אפילו כשטעם כתוב ראינו שקל מאד ליפול לטעות בהבנתו. אם כן, במקום שבו קשה להבין בכלל טעם כלשהו, אין סיבה ממשית להרהר אחריו.</w:t>
      </w:r>
    </w:p>
    <w:p w14:paraId="1BBCB5DE" w14:textId="0E00818A" w:rsidR="00FA2F35" w:rsidRPr="00372F53" w:rsidRDefault="00FA2F35" w:rsidP="00CE3B82">
      <w:pPr>
        <w:spacing w:after="0" w:line="240" w:lineRule="auto"/>
        <w:rPr>
          <w:sz w:val="20"/>
          <w:szCs w:val="20"/>
          <w:rtl/>
        </w:rPr>
      </w:pPr>
    </w:p>
    <w:sectPr w:rsidR="00FA2F35" w:rsidRPr="00372F53"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0D322B"/>
    <w:rsid w:val="001539E8"/>
    <w:rsid w:val="00154044"/>
    <w:rsid w:val="0018144C"/>
    <w:rsid w:val="00215C70"/>
    <w:rsid w:val="00267ABD"/>
    <w:rsid w:val="0029221E"/>
    <w:rsid w:val="00372F53"/>
    <w:rsid w:val="003842F2"/>
    <w:rsid w:val="0040339A"/>
    <w:rsid w:val="004B1F67"/>
    <w:rsid w:val="00535FAE"/>
    <w:rsid w:val="006357B9"/>
    <w:rsid w:val="006A647B"/>
    <w:rsid w:val="006B5312"/>
    <w:rsid w:val="006F553F"/>
    <w:rsid w:val="00963878"/>
    <w:rsid w:val="00A135D3"/>
    <w:rsid w:val="00A248B7"/>
    <w:rsid w:val="00B215CE"/>
    <w:rsid w:val="00B33304"/>
    <w:rsid w:val="00B43C88"/>
    <w:rsid w:val="00B85544"/>
    <w:rsid w:val="00C55370"/>
    <w:rsid w:val="00CE3B82"/>
    <w:rsid w:val="00D20DA6"/>
    <w:rsid w:val="00E108A1"/>
    <w:rsid w:val="00E640AE"/>
    <w:rsid w:val="00E82C1A"/>
    <w:rsid w:val="00F1393D"/>
    <w:rsid w:val="00F853C0"/>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styleId="ab">
    <w:name w:val="footnote text"/>
    <w:basedOn w:val="a"/>
    <w:link w:val="ac"/>
    <w:uiPriority w:val="99"/>
    <w:semiHidden/>
    <w:unhideWhenUsed/>
    <w:rsid w:val="006F553F"/>
    <w:pPr>
      <w:bidi w:val="0"/>
      <w:spacing w:after="0" w:line="240" w:lineRule="auto"/>
    </w:pPr>
    <w:rPr>
      <w:sz w:val="20"/>
      <w:szCs w:val="20"/>
    </w:rPr>
  </w:style>
  <w:style w:type="character" w:customStyle="1" w:styleId="ac">
    <w:name w:val="טקסט הערת שוליים תו"/>
    <w:basedOn w:val="a0"/>
    <w:link w:val="ab"/>
    <w:uiPriority w:val="99"/>
    <w:semiHidden/>
    <w:rsid w:val="006F553F"/>
    <w:rPr>
      <w:sz w:val="20"/>
      <w:szCs w:val="20"/>
    </w:rPr>
  </w:style>
  <w:style w:type="character" w:styleId="ad">
    <w:name w:val="footnote reference"/>
    <w:basedOn w:val="a0"/>
    <w:uiPriority w:val="99"/>
    <w:semiHidden/>
    <w:unhideWhenUsed/>
    <w:rsid w:val="006F5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22838">
      <w:bodyDiv w:val="1"/>
      <w:marLeft w:val="0"/>
      <w:marRight w:val="0"/>
      <w:marTop w:val="0"/>
      <w:marBottom w:val="0"/>
      <w:divBdr>
        <w:top w:val="none" w:sz="0" w:space="0" w:color="auto"/>
        <w:left w:val="none" w:sz="0" w:space="0" w:color="auto"/>
        <w:bottom w:val="none" w:sz="0" w:space="0" w:color="auto"/>
        <w:right w:val="none" w:sz="0" w:space="0" w:color="auto"/>
      </w:divBdr>
    </w:div>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 w:id="197389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8768</Characters>
  <Application>Microsoft Office Word</Application>
  <DocSecurity>0</DocSecurity>
  <Lines>73</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2021-06-03T05:57:00Z</dcterms:created>
  <dcterms:modified xsi:type="dcterms:W3CDTF">2021-06-03T05:57:00Z</dcterms:modified>
</cp:coreProperties>
</file>