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1E116468" w:rsidR="00E108A1" w:rsidRPr="00535FAE" w:rsidRDefault="00E108A1" w:rsidP="00F83E12">
      <w:pPr>
        <w:pStyle w:val="1"/>
        <w:jc w:val="left"/>
        <w:rPr>
          <w:sz w:val="44"/>
          <w:szCs w:val="44"/>
          <w:rtl/>
        </w:rPr>
      </w:pPr>
      <w:bookmarkStart w:id="0" w:name="_GoBack"/>
      <w:bookmarkEnd w:id="0"/>
      <w:r>
        <w:rPr>
          <w:rFonts w:hint="cs"/>
          <w:sz w:val="24"/>
          <w:szCs w:val="24"/>
          <w:rtl/>
        </w:rPr>
        <w:t xml:space="preserve">בס"ד, </w:t>
      </w:r>
      <w:r w:rsidR="00332622">
        <w:rPr>
          <w:rFonts w:hint="cs"/>
          <w:sz w:val="24"/>
          <w:szCs w:val="24"/>
          <w:rtl/>
        </w:rPr>
        <w:t xml:space="preserve">מנחם אב </w:t>
      </w:r>
      <w:r>
        <w:rPr>
          <w:rFonts w:hint="cs"/>
          <w:sz w:val="24"/>
          <w:szCs w:val="24"/>
          <w:rtl/>
        </w:rPr>
        <w:t>תשפ"א</w:t>
      </w:r>
    </w:p>
    <w:p w14:paraId="3EC38BCF" w14:textId="77777777" w:rsidR="00F5739A" w:rsidRDefault="00F5739A" w:rsidP="00F83E12">
      <w:pPr>
        <w:pStyle w:val="1"/>
        <w:rPr>
          <w:sz w:val="44"/>
          <w:szCs w:val="44"/>
          <w:rtl/>
        </w:rPr>
      </w:pPr>
    </w:p>
    <w:p w14:paraId="00AB622D" w14:textId="39BF860C" w:rsidR="00C55370" w:rsidRPr="00C55370" w:rsidRDefault="00E108A1" w:rsidP="00F83E12">
      <w:pPr>
        <w:pStyle w:val="1"/>
        <w:rPr>
          <w:sz w:val="44"/>
          <w:szCs w:val="44"/>
          <w:rtl/>
        </w:rPr>
      </w:pPr>
      <w:r w:rsidRPr="00535FAE">
        <w:rPr>
          <w:rFonts w:hint="cs"/>
          <w:sz w:val="44"/>
          <w:szCs w:val="44"/>
          <w:rtl/>
        </w:rPr>
        <w:t xml:space="preserve">דבר תורה לפרשת </w:t>
      </w:r>
      <w:r w:rsidR="00F83E12">
        <w:rPr>
          <w:rFonts w:hint="cs"/>
          <w:sz w:val="44"/>
          <w:szCs w:val="44"/>
          <w:rtl/>
        </w:rPr>
        <w:t>דברים</w:t>
      </w:r>
      <w:r w:rsidR="00332622">
        <w:rPr>
          <w:rFonts w:hint="cs"/>
          <w:sz w:val="44"/>
          <w:szCs w:val="44"/>
          <w:rtl/>
        </w:rPr>
        <w:t xml:space="preserve"> </w:t>
      </w:r>
      <w:r w:rsidR="00332622">
        <w:rPr>
          <w:sz w:val="44"/>
          <w:szCs w:val="44"/>
          <w:rtl/>
        </w:rPr>
        <w:t>–</w:t>
      </w:r>
      <w:r w:rsidR="00332622">
        <w:rPr>
          <w:rFonts w:hint="cs"/>
          <w:sz w:val="44"/>
          <w:szCs w:val="44"/>
          <w:rtl/>
        </w:rPr>
        <w:t xml:space="preserve"> </w:t>
      </w:r>
      <w:r w:rsidR="00F83E12">
        <w:rPr>
          <w:rFonts w:hint="cs"/>
          <w:sz w:val="44"/>
          <w:szCs w:val="44"/>
          <w:rtl/>
        </w:rPr>
        <w:t xml:space="preserve">ד"ר חנה </w:t>
      </w:r>
      <w:r w:rsidR="00332622">
        <w:rPr>
          <w:rFonts w:hint="cs"/>
          <w:sz w:val="44"/>
          <w:szCs w:val="44"/>
          <w:rtl/>
        </w:rPr>
        <w:t>הנדלר</w:t>
      </w:r>
    </w:p>
    <w:p w14:paraId="08BE8951" w14:textId="4C6E6614" w:rsidR="009C6A8B" w:rsidRDefault="009C6A8B" w:rsidP="00F83E12">
      <w:pPr>
        <w:jc w:val="both"/>
        <w:rPr>
          <w:rFonts w:cs="David"/>
          <w:sz w:val="28"/>
          <w:szCs w:val="28"/>
          <w:rtl/>
        </w:rPr>
      </w:pPr>
      <w:bookmarkStart w:id="1" w:name="_gjdgxs" w:colFirst="0" w:colLast="0"/>
      <w:bookmarkEnd w:id="1"/>
    </w:p>
    <w:p w14:paraId="03863E40" w14:textId="77777777" w:rsidR="00F83E12" w:rsidRPr="00370AC2" w:rsidRDefault="00F83E12" w:rsidP="00F83E12">
      <w:pPr>
        <w:pStyle w:val="ab"/>
        <w:spacing w:line="276" w:lineRule="auto"/>
        <w:jc w:val="center"/>
        <w:rPr>
          <w:b/>
          <w:bCs/>
          <w:sz w:val="28"/>
          <w:szCs w:val="28"/>
          <w:rtl/>
        </w:rPr>
      </w:pPr>
      <w:r w:rsidRPr="00370AC2">
        <w:rPr>
          <w:rFonts w:hint="cs"/>
          <w:b/>
          <w:bCs/>
          <w:sz w:val="28"/>
          <w:szCs w:val="28"/>
          <w:rtl/>
        </w:rPr>
        <w:t xml:space="preserve">פרשת דברים </w:t>
      </w:r>
      <w:r w:rsidRPr="00370AC2">
        <w:rPr>
          <w:b/>
          <w:bCs/>
          <w:sz w:val="28"/>
          <w:szCs w:val="28"/>
          <w:rtl/>
        </w:rPr>
        <w:t>–</w:t>
      </w:r>
      <w:r w:rsidRPr="00370AC2">
        <w:rPr>
          <w:rFonts w:hint="cs"/>
          <w:b/>
          <w:bCs/>
          <w:sz w:val="28"/>
          <w:szCs w:val="28"/>
          <w:rtl/>
        </w:rPr>
        <w:t xml:space="preserve"> חזון</w:t>
      </w:r>
    </w:p>
    <w:p w14:paraId="500EC017" w14:textId="77777777" w:rsidR="00F83E12" w:rsidRPr="00FF0F20" w:rsidRDefault="00F83E12" w:rsidP="00F83E12">
      <w:pPr>
        <w:pStyle w:val="ab"/>
        <w:spacing w:line="276" w:lineRule="auto"/>
        <w:rPr>
          <w:b/>
          <w:bCs/>
          <w:sz w:val="24"/>
          <w:rtl/>
        </w:rPr>
      </w:pPr>
    </w:p>
    <w:p w14:paraId="60EC1DF3" w14:textId="77777777" w:rsidR="00F83E12" w:rsidRPr="00FF0F20" w:rsidRDefault="00F83E12" w:rsidP="00F83E12">
      <w:pPr>
        <w:pStyle w:val="ab"/>
        <w:spacing w:line="276" w:lineRule="auto"/>
        <w:rPr>
          <w:sz w:val="24"/>
          <w:rtl/>
        </w:rPr>
      </w:pPr>
      <w:r w:rsidRPr="00FF0F20">
        <w:rPr>
          <w:rFonts w:hint="cs"/>
          <w:sz w:val="24"/>
          <w:rtl/>
        </w:rPr>
        <w:t>מה עושים עם חוברת הקינות לאחר ט' באב? מנהג חסידים לשים בגניזה, מתוך ביטוי לאמונה שלא נזדקק להם לשנה הבאה, שהרי נהיה בעז"ה בירושלים הבנויה. מנהג זה מבטא את הדרך שבה הסתכלה החסידות על ימי בין המיצרים. מצד אחד היא היתה מחוייבת להלכות האבילות של ימים אלו ומצד שני העצב, האבילות, הפסמיות נגדו את השקפת עולמה שדגלה בשמחה, באופטימיות וביכולת התקון.</w:t>
      </w:r>
    </w:p>
    <w:p w14:paraId="5D45ED2F" w14:textId="77777777" w:rsidR="00F83E12" w:rsidRPr="00FF0F20" w:rsidRDefault="00F83E12" w:rsidP="00F83E12">
      <w:pPr>
        <w:pStyle w:val="ab"/>
        <w:spacing w:line="276" w:lineRule="auto"/>
        <w:rPr>
          <w:sz w:val="24"/>
          <w:rtl/>
        </w:rPr>
      </w:pPr>
      <w:r w:rsidRPr="00FF0F20">
        <w:rPr>
          <w:rFonts w:hint="cs"/>
          <w:sz w:val="24"/>
          <w:rtl/>
        </w:rPr>
        <w:t>ולכן היא העדיפה לעסוק בעניני הגאולה והתקון מאשר בענייני החרבן. יתירה מכך:</w:t>
      </w:r>
    </w:p>
    <w:p w14:paraId="5EA91238" w14:textId="77777777" w:rsidR="00F83E12" w:rsidRPr="00FF0F20" w:rsidRDefault="00F83E12" w:rsidP="00F83E12">
      <w:pPr>
        <w:pStyle w:val="ab"/>
        <w:spacing w:line="276" w:lineRule="auto"/>
        <w:rPr>
          <w:sz w:val="24"/>
          <w:rtl/>
        </w:rPr>
      </w:pPr>
      <w:r w:rsidRPr="00FF0F20">
        <w:rPr>
          <w:rFonts w:hint="cs"/>
          <w:sz w:val="24"/>
          <w:rtl/>
        </w:rPr>
        <w:t xml:space="preserve">בין המיצרים נתפס לא כריחוק מהקב"ה, אלא להיפך כהזדמנות מעולה להתקרב אליו. המגיד ממזריטש, תלמידו של הבעל שם טוב, דרש את הפסוק באיכה </w:t>
      </w:r>
      <w:r w:rsidRPr="007E3508">
        <w:rPr>
          <w:rFonts w:hint="cs"/>
          <w:sz w:val="20"/>
          <w:szCs w:val="20"/>
          <w:rtl/>
        </w:rPr>
        <w:t>(א,ג)</w:t>
      </w:r>
      <w:r w:rsidRPr="00FF0F20">
        <w:rPr>
          <w:rFonts w:hint="cs"/>
          <w:sz w:val="24"/>
          <w:rtl/>
        </w:rPr>
        <w:t xml:space="preserve"> "כל רודפיה השיגוה בין המיצרים", לא במובן השלילי כפי שמשתמע מהכתוב, אלא </w:t>
      </w:r>
      <w:r w:rsidRPr="007E3508">
        <w:rPr>
          <w:rFonts w:hint="cs"/>
          <w:i/>
          <w:iCs/>
          <w:sz w:val="24"/>
          <w:rtl/>
        </w:rPr>
        <w:t>"כל רודפי י-ה השיגוה בין המיצרים"</w:t>
      </w:r>
      <w:r w:rsidRPr="00FF0F20">
        <w:rPr>
          <w:rFonts w:hint="cs"/>
          <w:sz w:val="24"/>
          <w:rtl/>
        </w:rPr>
        <w:t xml:space="preserve">. ימי בין המיצרים הם הזמן להתקרבות להקב"ה, שכן "המלך בשדה", אמנם הוא בשדה כי נחרב ארמונו, אבל </w:t>
      </w:r>
      <w:r>
        <w:rPr>
          <w:rFonts w:hint="cs"/>
          <w:sz w:val="24"/>
          <w:rtl/>
        </w:rPr>
        <w:t xml:space="preserve">דווקא </w:t>
      </w:r>
      <w:r w:rsidRPr="00FF0F20">
        <w:rPr>
          <w:rFonts w:hint="cs"/>
          <w:sz w:val="24"/>
          <w:rtl/>
        </w:rPr>
        <w:t>לכן הוא זמין ונגיש.</w:t>
      </w:r>
    </w:p>
    <w:p w14:paraId="172CC8A3" w14:textId="77777777" w:rsidR="00F83E12" w:rsidRPr="00FF0F20" w:rsidRDefault="00F83E12" w:rsidP="00F83E12">
      <w:pPr>
        <w:pStyle w:val="ab"/>
        <w:spacing w:line="276" w:lineRule="auto"/>
        <w:rPr>
          <w:sz w:val="24"/>
          <w:rtl/>
        </w:rPr>
      </w:pPr>
      <w:r w:rsidRPr="00FF0F20">
        <w:rPr>
          <w:rFonts w:hint="cs"/>
          <w:sz w:val="24"/>
          <w:rtl/>
        </w:rPr>
        <w:t>בדרך דומה התייחסו בחסידות לשבת 'חזון' כמייצגת את הכח האלוקי שלא נעלם גם בגלות.</w:t>
      </w:r>
    </w:p>
    <w:p w14:paraId="2C19C3F9" w14:textId="77777777" w:rsidR="00F83E12" w:rsidRDefault="00F83E12" w:rsidP="00F83E12">
      <w:pPr>
        <w:spacing w:after="0"/>
        <w:jc w:val="both"/>
        <w:rPr>
          <w:rFonts w:cs="David"/>
          <w:sz w:val="24"/>
          <w:szCs w:val="24"/>
          <w:rtl/>
        </w:rPr>
      </w:pPr>
      <w:r w:rsidRPr="00FF0F20">
        <w:rPr>
          <w:rFonts w:cs="David" w:hint="cs"/>
          <w:sz w:val="24"/>
          <w:szCs w:val="24"/>
          <w:rtl/>
        </w:rPr>
        <w:t>"</w:t>
      </w:r>
      <w:r w:rsidRPr="00FF0F20">
        <w:rPr>
          <w:rFonts w:cs="David"/>
          <w:sz w:val="24"/>
          <w:szCs w:val="24"/>
          <w:rtl/>
        </w:rPr>
        <w:t xml:space="preserve">ה' </w:t>
      </w:r>
      <w:proofErr w:type="spellStart"/>
      <w:r w:rsidRPr="00FF0F20">
        <w:rPr>
          <w:rFonts w:cs="David"/>
          <w:sz w:val="24"/>
          <w:szCs w:val="24"/>
          <w:rtl/>
        </w:rPr>
        <w:t>אלהינו</w:t>
      </w:r>
      <w:proofErr w:type="spellEnd"/>
      <w:r w:rsidRPr="00FF0F20">
        <w:rPr>
          <w:rFonts w:cs="David"/>
          <w:sz w:val="24"/>
          <w:szCs w:val="24"/>
          <w:rtl/>
        </w:rPr>
        <w:t xml:space="preserve"> דבר אלינו בחורב </w:t>
      </w:r>
      <w:proofErr w:type="spellStart"/>
      <w:r w:rsidRPr="00FF0F20">
        <w:rPr>
          <w:rFonts w:cs="David"/>
          <w:sz w:val="24"/>
          <w:szCs w:val="24"/>
          <w:rtl/>
        </w:rPr>
        <w:t>לאמר</w:t>
      </w:r>
      <w:proofErr w:type="spellEnd"/>
      <w:r w:rsidRPr="00FF0F20">
        <w:rPr>
          <w:rFonts w:cs="David"/>
          <w:sz w:val="24"/>
          <w:szCs w:val="24"/>
          <w:rtl/>
        </w:rPr>
        <w:t xml:space="preserve"> רב לכם שבת בהר הזה</w:t>
      </w:r>
      <w:r w:rsidRPr="00FF0F20">
        <w:rPr>
          <w:rFonts w:cs="David" w:hint="cs"/>
          <w:sz w:val="24"/>
          <w:szCs w:val="24"/>
          <w:rtl/>
        </w:rPr>
        <w:t xml:space="preserve">" </w:t>
      </w:r>
      <w:r w:rsidRPr="007E3508">
        <w:rPr>
          <w:rFonts w:cs="David" w:hint="cs"/>
          <w:sz w:val="20"/>
          <w:szCs w:val="20"/>
          <w:rtl/>
        </w:rPr>
        <w:t>(דברים א, ו)</w:t>
      </w:r>
      <w:r w:rsidRPr="007E3508">
        <w:rPr>
          <w:rFonts w:cs="David"/>
          <w:sz w:val="20"/>
          <w:szCs w:val="20"/>
          <w:rtl/>
        </w:rPr>
        <w:t>.</w:t>
      </w:r>
      <w:r w:rsidRPr="00FF0F20">
        <w:rPr>
          <w:rFonts w:cs="David"/>
          <w:sz w:val="24"/>
          <w:szCs w:val="24"/>
          <w:rtl/>
        </w:rPr>
        <w:t xml:space="preserve"> הפרשה זאת נקרא תמיד בין המצרים בשבת חזון. והיא מרמזת לנו כי ה' </w:t>
      </w:r>
      <w:proofErr w:type="spellStart"/>
      <w:r w:rsidRPr="00FF0F20">
        <w:rPr>
          <w:rFonts w:cs="David"/>
          <w:sz w:val="24"/>
          <w:szCs w:val="24"/>
          <w:rtl/>
        </w:rPr>
        <w:t>אלהינו</w:t>
      </w:r>
      <w:proofErr w:type="spellEnd"/>
      <w:r w:rsidRPr="00FF0F20">
        <w:rPr>
          <w:rFonts w:cs="David"/>
          <w:sz w:val="24"/>
          <w:szCs w:val="24"/>
          <w:rtl/>
        </w:rPr>
        <w:t xml:space="preserve"> דבר אלינו בחורב</w:t>
      </w:r>
      <w:r w:rsidRPr="00FF0F20">
        <w:rPr>
          <w:rFonts w:cs="David" w:hint="cs"/>
          <w:sz w:val="24"/>
          <w:szCs w:val="24"/>
          <w:rtl/>
        </w:rPr>
        <w:t>.</w:t>
      </w:r>
      <w:r w:rsidRPr="00FF0F20">
        <w:rPr>
          <w:rFonts w:cs="David"/>
          <w:sz w:val="24"/>
          <w:szCs w:val="24"/>
          <w:rtl/>
        </w:rPr>
        <w:t xml:space="preserve"> אף שב</w:t>
      </w:r>
      <w:r w:rsidRPr="00FF0F20">
        <w:rPr>
          <w:rFonts w:cs="David" w:hint="cs"/>
          <w:sz w:val="24"/>
          <w:szCs w:val="24"/>
          <w:rtl/>
        </w:rPr>
        <w:t>ית המקדש</w:t>
      </w:r>
      <w:r w:rsidRPr="00FF0F20">
        <w:rPr>
          <w:rFonts w:cs="David"/>
          <w:sz w:val="24"/>
          <w:szCs w:val="24"/>
          <w:rtl/>
        </w:rPr>
        <w:t xml:space="preserve"> הוא חרב  אעפ"כ רב לכם שֶבֶת הוא </w:t>
      </w:r>
      <w:r w:rsidRPr="00FF0F20">
        <w:rPr>
          <w:rFonts w:cs="David" w:hint="cs"/>
          <w:sz w:val="24"/>
          <w:szCs w:val="24"/>
          <w:rtl/>
        </w:rPr>
        <w:t>שַ</w:t>
      </w:r>
      <w:r w:rsidRPr="00FF0F20">
        <w:rPr>
          <w:rFonts w:cs="David"/>
          <w:sz w:val="24"/>
          <w:szCs w:val="24"/>
          <w:rtl/>
        </w:rPr>
        <w:t>בַּת. כי האמנם כל המועדים הם לפי הזמנים כמ"ש מקדש ישראל והזמנים והי</w:t>
      </w:r>
      <w:r w:rsidRPr="00FF0F20">
        <w:rPr>
          <w:rFonts w:cs="David" w:hint="cs"/>
          <w:sz w:val="24"/>
          <w:szCs w:val="24"/>
          <w:rtl/>
        </w:rPr>
        <w:t>ה</w:t>
      </w:r>
      <w:r w:rsidRPr="00FF0F20">
        <w:rPr>
          <w:rFonts w:cs="David"/>
          <w:sz w:val="24"/>
          <w:szCs w:val="24"/>
          <w:rtl/>
        </w:rPr>
        <w:t xml:space="preserve"> לנו מצות עליית הרגל והבאת הקרבנות</w:t>
      </w:r>
      <w:r w:rsidRPr="00FF0F20">
        <w:rPr>
          <w:rFonts w:cs="David" w:hint="cs"/>
          <w:sz w:val="24"/>
          <w:szCs w:val="24"/>
          <w:rtl/>
        </w:rPr>
        <w:t>,</w:t>
      </w:r>
      <w:r w:rsidRPr="00FF0F20">
        <w:rPr>
          <w:rFonts w:cs="David"/>
          <w:sz w:val="24"/>
          <w:szCs w:val="24"/>
          <w:rtl/>
        </w:rPr>
        <w:t xml:space="preserve"> ובזמן הזה אין לנו דבר</w:t>
      </w:r>
      <w:r w:rsidRPr="00FF0F20">
        <w:rPr>
          <w:rFonts w:cs="David" w:hint="cs"/>
          <w:sz w:val="24"/>
          <w:szCs w:val="24"/>
          <w:rtl/>
        </w:rPr>
        <w:t>,</w:t>
      </w:r>
      <w:r w:rsidRPr="00FF0F20">
        <w:rPr>
          <w:rFonts w:cs="David"/>
          <w:sz w:val="24"/>
          <w:szCs w:val="24"/>
          <w:rtl/>
        </w:rPr>
        <w:t xml:space="preserve"> אבל שבת היא </w:t>
      </w:r>
      <w:proofErr w:type="spellStart"/>
      <w:r w:rsidRPr="00FF0F20">
        <w:rPr>
          <w:rFonts w:cs="David"/>
          <w:sz w:val="24"/>
          <w:szCs w:val="24"/>
          <w:rtl/>
        </w:rPr>
        <w:t>קביעא</w:t>
      </w:r>
      <w:proofErr w:type="spellEnd"/>
      <w:r w:rsidRPr="00FF0F20">
        <w:rPr>
          <w:rFonts w:cs="David"/>
          <w:sz w:val="24"/>
          <w:szCs w:val="24"/>
          <w:rtl/>
        </w:rPr>
        <w:t xml:space="preserve"> וקיימא גם בז</w:t>
      </w:r>
      <w:r w:rsidRPr="00FF0F20">
        <w:rPr>
          <w:rFonts w:cs="David" w:hint="cs"/>
          <w:sz w:val="24"/>
          <w:szCs w:val="24"/>
          <w:rtl/>
        </w:rPr>
        <w:t>מן הזה</w:t>
      </w:r>
      <w:r w:rsidRPr="00FF0F20">
        <w:rPr>
          <w:rFonts w:cs="David"/>
          <w:sz w:val="24"/>
          <w:szCs w:val="24"/>
          <w:rtl/>
        </w:rPr>
        <w:t xml:space="preserve"> וז</w:t>
      </w:r>
      <w:r w:rsidRPr="00FF0F20">
        <w:rPr>
          <w:rFonts w:cs="David" w:hint="cs"/>
          <w:sz w:val="24"/>
          <w:szCs w:val="24"/>
          <w:rtl/>
        </w:rPr>
        <w:t>ה שאמרו</w:t>
      </w:r>
      <w:r w:rsidRPr="00FF0F20">
        <w:rPr>
          <w:rFonts w:cs="David"/>
          <w:sz w:val="24"/>
          <w:szCs w:val="24"/>
          <w:rtl/>
        </w:rPr>
        <w:t xml:space="preserve"> </w:t>
      </w:r>
      <w:r w:rsidRPr="00FF0F20">
        <w:rPr>
          <w:rFonts w:cs="David" w:hint="cs"/>
          <w:sz w:val="24"/>
          <w:szCs w:val="24"/>
          <w:rtl/>
        </w:rPr>
        <w:t>ח</w:t>
      </w:r>
      <w:r w:rsidRPr="00FF0F20">
        <w:rPr>
          <w:rFonts w:cs="David"/>
          <w:sz w:val="24"/>
          <w:szCs w:val="24"/>
          <w:rtl/>
        </w:rPr>
        <w:t>ז"</w:t>
      </w:r>
      <w:r w:rsidRPr="007E3508">
        <w:rPr>
          <w:rFonts w:cs="David"/>
          <w:sz w:val="20"/>
          <w:szCs w:val="20"/>
          <w:rtl/>
        </w:rPr>
        <w:t>ל (שבת י, ב)</w:t>
      </w:r>
      <w:r w:rsidRPr="00FF0F20">
        <w:rPr>
          <w:rFonts w:cs="David"/>
          <w:sz w:val="24"/>
          <w:szCs w:val="24"/>
          <w:rtl/>
        </w:rPr>
        <w:t xml:space="preserve"> מתנה טובה יש לי בבית גנזי ושבת שמה. אף שבהמ"ק נגנז אך השבת קיים לעולם</w:t>
      </w:r>
      <w:r w:rsidRPr="00FF0F20">
        <w:rPr>
          <w:rFonts w:cs="David" w:hint="cs"/>
          <w:sz w:val="24"/>
          <w:szCs w:val="24"/>
          <w:rtl/>
        </w:rPr>
        <w:t xml:space="preserve">... </w:t>
      </w:r>
      <w:r w:rsidRPr="00FF0F20">
        <w:rPr>
          <w:rFonts w:cs="David"/>
          <w:i/>
          <w:iCs/>
          <w:sz w:val="24"/>
          <w:szCs w:val="24"/>
          <w:rtl/>
        </w:rPr>
        <w:t xml:space="preserve">גם כן הרמז ה' </w:t>
      </w:r>
      <w:proofErr w:type="spellStart"/>
      <w:r w:rsidRPr="00FF0F20">
        <w:rPr>
          <w:rFonts w:cs="David"/>
          <w:i/>
          <w:iCs/>
          <w:sz w:val="24"/>
          <w:szCs w:val="24"/>
          <w:rtl/>
        </w:rPr>
        <w:t>אלהינו</w:t>
      </w:r>
      <w:proofErr w:type="spellEnd"/>
      <w:r w:rsidRPr="00FF0F20">
        <w:rPr>
          <w:rFonts w:cs="David"/>
          <w:i/>
          <w:iCs/>
          <w:sz w:val="24"/>
          <w:szCs w:val="24"/>
          <w:rtl/>
        </w:rPr>
        <w:t xml:space="preserve"> דבר אלינו בחורב. ר"ל </w:t>
      </w:r>
      <w:proofErr w:type="spellStart"/>
      <w:r w:rsidRPr="00FF0F20">
        <w:rPr>
          <w:rFonts w:cs="David"/>
          <w:i/>
          <w:iCs/>
          <w:sz w:val="24"/>
          <w:szCs w:val="24"/>
          <w:rtl/>
        </w:rPr>
        <w:t>הדברי</w:t>
      </w:r>
      <w:proofErr w:type="spellEnd"/>
      <w:r w:rsidRPr="00FF0F20">
        <w:rPr>
          <w:rFonts w:cs="David"/>
          <w:i/>
          <w:iCs/>
          <w:sz w:val="24"/>
          <w:szCs w:val="24"/>
          <w:rtl/>
        </w:rPr>
        <w:t xml:space="preserve"> תורה הם אלינו גם בזמן החורבן</w:t>
      </w:r>
      <w:r w:rsidRPr="00FF0F20">
        <w:rPr>
          <w:rFonts w:cs="David" w:hint="cs"/>
          <w:i/>
          <w:iCs/>
          <w:sz w:val="24"/>
          <w:szCs w:val="24"/>
          <w:rtl/>
        </w:rPr>
        <w:t>...</w:t>
      </w:r>
      <w:r w:rsidRPr="00FF0F20">
        <w:rPr>
          <w:rFonts w:cs="David"/>
          <w:sz w:val="24"/>
          <w:szCs w:val="24"/>
          <w:rtl/>
        </w:rPr>
        <w:t xml:space="preserve"> גם </w:t>
      </w:r>
      <w:proofErr w:type="spellStart"/>
      <w:r w:rsidRPr="00FF0F20">
        <w:rPr>
          <w:rFonts w:cs="David"/>
          <w:sz w:val="24"/>
          <w:szCs w:val="24"/>
          <w:rtl/>
        </w:rPr>
        <w:t>בזמה"ז</w:t>
      </w:r>
      <w:proofErr w:type="spellEnd"/>
      <w:r w:rsidRPr="00FF0F20">
        <w:rPr>
          <w:rFonts w:cs="David"/>
          <w:sz w:val="24"/>
          <w:szCs w:val="24"/>
          <w:rtl/>
        </w:rPr>
        <w:t xml:space="preserve"> השכינה שורה בישראל ביום השבת</w:t>
      </w:r>
      <w:r w:rsidRPr="00FF0F20">
        <w:rPr>
          <w:rFonts w:cs="David" w:hint="cs"/>
          <w:sz w:val="24"/>
          <w:szCs w:val="24"/>
          <w:rtl/>
        </w:rPr>
        <w:t xml:space="preserve"> </w:t>
      </w:r>
      <w:r w:rsidRPr="007E3508">
        <w:rPr>
          <w:rFonts w:cs="David" w:hint="cs"/>
          <w:sz w:val="20"/>
          <w:szCs w:val="20"/>
          <w:rtl/>
        </w:rPr>
        <w:t xml:space="preserve">(ר' שלמה </w:t>
      </w:r>
      <w:proofErr w:type="spellStart"/>
      <w:r w:rsidRPr="007E3508">
        <w:rPr>
          <w:rFonts w:cs="David" w:hint="cs"/>
          <w:sz w:val="20"/>
          <w:szCs w:val="20"/>
          <w:rtl/>
        </w:rPr>
        <w:t>מרדומסק</w:t>
      </w:r>
      <w:proofErr w:type="spellEnd"/>
      <w:r w:rsidRPr="007E3508">
        <w:rPr>
          <w:rFonts w:cs="David" w:hint="cs"/>
          <w:sz w:val="20"/>
          <w:szCs w:val="20"/>
          <w:rtl/>
        </w:rPr>
        <w:t>, תפארת שלמה, פ' דברים).</w:t>
      </w:r>
    </w:p>
    <w:p w14:paraId="737FE81E" w14:textId="77777777" w:rsidR="00F83E12" w:rsidRPr="00FF0F20" w:rsidRDefault="00F83E12" w:rsidP="00F83E12">
      <w:pPr>
        <w:spacing w:after="0"/>
        <w:jc w:val="both"/>
        <w:rPr>
          <w:rFonts w:cs="David"/>
          <w:sz w:val="24"/>
          <w:szCs w:val="24"/>
          <w:rtl/>
        </w:rPr>
      </w:pPr>
    </w:p>
    <w:p w14:paraId="0CF8BDBD" w14:textId="77777777" w:rsidR="00F83E12" w:rsidRPr="00FF0F20" w:rsidRDefault="00F83E12" w:rsidP="00F83E12">
      <w:pPr>
        <w:spacing w:after="0"/>
        <w:jc w:val="both"/>
        <w:rPr>
          <w:rFonts w:cs="David"/>
          <w:sz w:val="24"/>
          <w:szCs w:val="24"/>
          <w:rtl/>
        </w:rPr>
      </w:pPr>
      <w:r w:rsidRPr="00FF0F20">
        <w:rPr>
          <w:rFonts w:cs="David" w:hint="cs"/>
          <w:sz w:val="24"/>
          <w:szCs w:val="24"/>
          <w:rtl/>
        </w:rPr>
        <w:t xml:space="preserve">יש לציין כי גם הפרשות הקודמות הנקראות בשבתות בין </w:t>
      </w:r>
      <w:proofErr w:type="spellStart"/>
      <w:r w:rsidRPr="00FF0F20">
        <w:rPr>
          <w:rFonts w:cs="David" w:hint="cs"/>
          <w:sz w:val="24"/>
          <w:szCs w:val="24"/>
          <w:rtl/>
        </w:rPr>
        <w:t>המיצרים</w:t>
      </w:r>
      <w:proofErr w:type="spellEnd"/>
      <w:r w:rsidRPr="00FF0F20">
        <w:rPr>
          <w:rFonts w:cs="David" w:hint="cs"/>
          <w:sz w:val="24"/>
          <w:szCs w:val="24"/>
          <w:rtl/>
        </w:rPr>
        <w:t xml:space="preserve"> </w:t>
      </w:r>
      <w:proofErr w:type="spellStart"/>
      <w:r w:rsidRPr="00FF0F20">
        <w:rPr>
          <w:rFonts w:cs="David" w:hint="cs"/>
          <w:sz w:val="24"/>
          <w:szCs w:val="24"/>
          <w:rtl/>
        </w:rPr>
        <w:t>נתפרשו</w:t>
      </w:r>
      <w:proofErr w:type="spellEnd"/>
      <w:r w:rsidRPr="00FF0F20">
        <w:rPr>
          <w:rFonts w:cs="David" w:hint="cs"/>
          <w:sz w:val="24"/>
          <w:szCs w:val="24"/>
          <w:rtl/>
        </w:rPr>
        <w:t xml:space="preserve"> בתורת החסידות כרומזות על הגאולה החבויה בתוך הגלות ויש בהן תקווה ועידוד. הקרבנות המוזכרים בפרשת פנחס רומזים על כך שעוד נחזור לעבודת הקרבנות, וכן ענין חלוקת הנחלות שבפרשות הקודמות רומזת על כך שנחזור לארץ. </w:t>
      </w:r>
    </w:p>
    <w:p w14:paraId="3D93B26F" w14:textId="77777777" w:rsidR="00F83E12" w:rsidRDefault="00F83E12" w:rsidP="00F83E12">
      <w:pPr>
        <w:spacing w:after="0"/>
        <w:jc w:val="both"/>
        <w:rPr>
          <w:rFonts w:cs="David"/>
          <w:sz w:val="24"/>
          <w:szCs w:val="24"/>
          <w:rtl/>
        </w:rPr>
      </w:pPr>
      <w:r w:rsidRPr="00FF0F20">
        <w:rPr>
          <w:rFonts w:cs="David" w:hint="cs"/>
          <w:sz w:val="24"/>
          <w:szCs w:val="24"/>
          <w:rtl/>
        </w:rPr>
        <w:t xml:space="preserve">תורת החסידות הדגישה את חשיבותם של הגעגועים של כל יחיד לימי קדם בתהליך הגאולה. מסופר על ר' נפתלי </w:t>
      </w:r>
      <w:proofErr w:type="spellStart"/>
      <w:r w:rsidRPr="00FF0F20">
        <w:rPr>
          <w:rFonts w:cs="David" w:hint="cs"/>
          <w:sz w:val="24"/>
          <w:szCs w:val="24"/>
          <w:rtl/>
        </w:rPr>
        <w:t>מרופשיץ</w:t>
      </w:r>
      <w:proofErr w:type="spellEnd"/>
      <w:r w:rsidRPr="00FF0F20">
        <w:rPr>
          <w:rFonts w:cs="David" w:hint="cs"/>
          <w:sz w:val="24"/>
          <w:szCs w:val="24"/>
          <w:rtl/>
        </w:rPr>
        <w:t xml:space="preserve">, שהיה לוי, שבימי בין </w:t>
      </w:r>
      <w:proofErr w:type="spellStart"/>
      <w:r w:rsidRPr="00FF0F20">
        <w:rPr>
          <w:rFonts w:cs="David" w:hint="cs"/>
          <w:sz w:val="24"/>
          <w:szCs w:val="24"/>
          <w:rtl/>
        </w:rPr>
        <w:t>המיצרים</w:t>
      </w:r>
      <w:proofErr w:type="spellEnd"/>
      <w:r w:rsidRPr="00FF0F20">
        <w:rPr>
          <w:rFonts w:cs="David" w:hint="cs"/>
          <w:sz w:val="24"/>
          <w:szCs w:val="24"/>
          <w:rtl/>
        </w:rPr>
        <w:t xml:space="preserve">, שבהם נוהגים לעשות </w:t>
      </w:r>
      <w:proofErr w:type="spellStart"/>
      <w:r w:rsidRPr="00FF0F20">
        <w:rPr>
          <w:rFonts w:cs="David" w:hint="cs"/>
          <w:sz w:val="24"/>
          <w:szCs w:val="24"/>
          <w:rtl/>
        </w:rPr>
        <w:t>תקון</w:t>
      </w:r>
      <w:proofErr w:type="spellEnd"/>
      <w:r w:rsidRPr="00FF0F20">
        <w:rPr>
          <w:rFonts w:cs="David" w:hint="cs"/>
          <w:sz w:val="24"/>
          <w:szCs w:val="24"/>
          <w:rtl/>
        </w:rPr>
        <w:t xml:space="preserve"> חצות גם בחצות היום, הסתובב בבית מדרש ושר "והשב </w:t>
      </w:r>
      <w:proofErr w:type="spellStart"/>
      <w:r w:rsidRPr="00FF0F20">
        <w:rPr>
          <w:rFonts w:cs="David" w:hint="cs"/>
          <w:sz w:val="24"/>
          <w:szCs w:val="24"/>
          <w:rtl/>
        </w:rPr>
        <w:t>כהנים</w:t>
      </w:r>
      <w:proofErr w:type="spellEnd"/>
      <w:r w:rsidRPr="00FF0F20">
        <w:rPr>
          <w:rFonts w:cs="David" w:hint="cs"/>
          <w:sz w:val="24"/>
          <w:szCs w:val="24"/>
          <w:rtl/>
        </w:rPr>
        <w:t xml:space="preserve"> לעבודתם ולווים לשירם ולזמרם", כלומר הדגשת הגעגועים והציפיה. רעיון זה מובא כבר אצל הכוזרי:</w:t>
      </w:r>
    </w:p>
    <w:p w14:paraId="66311DB2" w14:textId="77777777" w:rsidR="00F83E12" w:rsidRDefault="00F83E12" w:rsidP="00F83E12">
      <w:pPr>
        <w:spacing w:after="0"/>
        <w:jc w:val="both"/>
        <w:rPr>
          <w:rFonts w:cs="David"/>
          <w:sz w:val="20"/>
          <w:szCs w:val="20"/>
          <w:rtl/>
        </w:rPr>
      </w:pPr>
      <w:r w:rsidRPr="00FF0F20">
        <w:rPr>
          <w:rFonts w:cs="David" w:hint="cs"/>
          <w:sz w:val="24"/>
          <w:szCs w:val="24"/>
          <w:rtl/>
        </w:rPr>
        <w:t xml:space="preserve"> "</w:t>
      </w:r>
      <w:r w:rsidRPr="00FF0F20">
        <w:rPr>
          <w:rFonts w:cs="David"/>
          <w:sz w:val="24"/>
          <w:szCs w:val="24"/>
          <w:rtl/>
        </w:rPr>
        <w:t xml:space="preserve">מי שמעורר בלב בני אדם אהבה למקום הקדוש הזה ראוי לשכר בלא ספק והוא מקרב עת בוא </w:t>
      </w:r>
      <w:proofErr w:type="spellStart"/>
      <w:r w:rsidRPr="00FF0F20">
        <w:rPr>
          <w:rFonts w:cs="David"/>
          <w:sz w:val="24"/>
          <w:szCs w:val="24"/>
          <w:rtl/>
        </w:rPr>
        <w:t>תקותנו</w:t>
      </w:r>
      <w:proofErr w:type="spellEnd"/>
      <w:r w:rsidRPr="00FF0F20">
        <w:rPr>
          <w:rFonts w:cs="David"/>
          <w:sz w:val="24"/>
          <w:szCs w:val="24"/>
          <w:rtl/>
        </w:rPr>
        <w:t xml:space="preserve"> כמה שנאמר אתה תקום תרחם ציון כי עת לחננה כי בא מועד כי רצו עבדיך את אבניה ואת עפרה יחננו</w:t>
      </w:r>
      <w:r w:rsidRPr="00FF0F20">
        <w:rPr>
          <w:rFonts w:cs="David" w:hint="cs"/>
          <w:sz w:val="24"/>
          <w:szCs w:val="24"/>
          <w:rtl/>
        </w:rPr>
        <w:t>.</w:t>
      </w:r>
      <w:r w:rsidRPr="00FF0F20">
        <w:rPr>
          <w:rFonts w:cs="David"/>
          <w:sz w:val="24"/>
          <w:szCs w:val="24"/>
          <w:rtl/>
        </w:rPr>
        <w:t xml:space="preserve"> זאת אומרת ירושלים לא תבנה כי אם כאשר ישתוקקו אליה בני ישראל תכלית תשוקה עד אשר יחוננו את אבניה ואת עפרה</w:t>
      </w:r>
      <w:r w:rsidRPr="007E3508">
        <w:rPr>
          <w:rFonts w:cs="David" w:hint="cs"/>
          <w:sz w:val="20"/>
          <w:szCs w:val="20"/>
          <w:rtl/>
        </w:rPr>
        <w:t xml:space="preserve">.( ר' יהודה הלוי, </w:t>
      </w:r>
      <w:r w:rsidRPr="007E3508">
        <w:rPr>
          <w:rFonts w:cs="David"/>
          <w:sz w:val="20"/>
          <w:szCs w:val="20"/>
          <w:rtl/>
        </w:rPr>
        <w:t>ספר הכוזרי</w:t>
      </w:r>
      <w:r w:rsidRPr="007E3508">
        <w:rPr>
          <w:rFonts w:cs="David" w:hint="cs"/>
          <w:sz w:val="20"/>
          <w:szCs w:val="20"/>
          <w:rtl/>
        </w:rPr>
        <w:t>,</w:t>
      </w:r>
      <w:r w:rsidRPr="007E3508">
        <w:rPr>
          <w:rFonts w:cs="David"/>
          <w:sz w:val="20"/>
          <w:szCs w:val="20"/>
          <w:rtl/>
        </w:rPr>
        <w:t xml:space="preserve"> מאמר חמישי אות א - </w:t>
      </w:r>
      <w:proofErr w:type="spellStart"/>
      <w:r w:rsidRPr="007E3508">
        <w:rPr>
          <w:rFonts w:cs="David"/>
          <w:sz w:val="20"/>
          <w:szCs w:val="20"/>
          <w:rtl/>
        </w:rPr>
        <w:t>כח</w:t>
      </w:r>
      <w:proofErr w:type="spellEnd"/>
      <w:r w:rsidRPr="007E3508">
        <w:rPr>
          <w:rFonts w:cs="David"/>
          <w:sz w:val="20"/>
          <w:szCs w:val="20"/>
          <w:rtl/>
        </w:rPr>
        <w:t xml:space="preserve"> </w:t>
      </w:r>
      <w:r w:rsidRPr="007E3508">
        <w:rPr>
          <w:rFonts w:cs="David" w:hint="cs"/>
          <w:sz w:val="20"/>
          <w:szCs w:val="20"/>
          <w:rtl/>
        </w:rPr>
        <w:t>).</w:t>
      </w:r>
    </w:p>
    <w:p w14:paraId="054D198C" w14:textId="77777777" w:rsidR="00F83E12" w:rsidRPr="007E3508" w:rsidRDefault="00F83E12" w:rsidP="00F83E12">
      <w:pPr>
        <w:spacing w:after="0"/>
        <w:jc w:val="both"/>
        <w:rPr>
          <w:rFonts w:cs="David"/>
          <w:sz w:val="20"/>
          <w:szCs w:val="20"/>
          <w:rtl/>
        </w:rPr>
      </w:pPr>
    </w:p>
    <w:p w14:paraId="79D9C834" w14:textId="77777777" w:rsidR="00F83E12" w:rsidRPr="00FF0F20" w:rsidRDefault="00F83E12" w:rsidP="00F83E12">
      <w:pPr>
        <w:spacing w:after="0"/>
        <w:jc w:val="both"/>
        <w:rPr>
          <w:rFonts w:cs="David"/>
          <w:sz w:val="24"/>
          <w:szCs w:val="24"/>
          <w:rtl/>
        </w:rPr>
      </w:pPr>
      <w:r w:rsidRPr="00FF0F20">
        <w:rPr>
          <w:rFonts w:cs="David" w:hint="cs"/>
          <w:sz w:val="24"/>
          <w:szCs w:val="24"/>
          <w:rtl/>
        </w:rPr>
        <w:t xml:space="preserve">תורת החסידות גם עודדה את המתאבלים שלא ליפול לידי </w:t>
      </w:r>
      <w:proofErr w:type="spellStart"/>
      <w:r w:rsidRPr="00FF0F20">
        <w:rPr>
          <w:rFonts w:cs="David" w:hint="cs"/>
          <w:sz w:val="24"/>
          <w:szCs w:val="24"/>
          <w:rtl/>
        </w:rPr>
        <w:t>יאוש</w:t>
      </w:r>
      <w:proofErr w:type="spellEnd"/>
      <w:r w:rsidRPr="00FF0F20">
        <w:rPr>
          <w:rFonts w:cs="David" w:hint="cs"/>
          <w:sz w:val="24"/>
          <w:szCs w:val="24"/>
          <w:rtl/>
        </w:rPr>
        <w:t xml:space="preserve">, שהרי דורות רבים התאבלו ועדין לא זכינו לגאולה, וכך הסביר ר' לוי יצחק </w:t>
      </w:r>
      <w:proofErr w:type="spellStart"/>
      <w:r w:rsidRPr="00FF0F20">
        <w:rPr>
          <w:rFonts w:cs="David" w:hint="cs"/>
          <w:sz w:val="24"/>
          <w:szCs w:val="24"/>
          <w:rtl/>
        </w:rPr>
        <w:t>מברדיטשב</w:t>
      </w:r>
      <w:proofErr w:type="spellEnd"/>
      <w:r w:rsidRPr="00FF0F20">
        <w:rPr>
          <w:rFonts w:cs="David" w:hint="cs"/>
          <w:sz w:val="24"/>
          <w:szCs w:val="24"/>
          <w:rtl/>
        </w:rPr>
        <w:t xml:space="preserve"> את דברי חז"ל "כל המתאבל על ירושלים זוכה ורואה בשמחתה" </w:t>
      </w:r>
      <w:r w:rsidRPr="007E3508">
        <w:rPr>
          <w:rFonts w:cs="David" w:hint="cs"/>
          <w:sz w:val="20"/>
          <w:szCs w:val="20"/>
          <w:rtl/>
        </w:rPr>
        <w:t>(תענית ל, ע"ב)</w:t>
      </w:r>
    </w:p>
    <w:p w14:paraId="32E26382" w14:textId="77777777" w:rsidR="00F83E12" w:rsidRPr="00FF0F20" w:rsidRDefault="00F83E12" w:rsidP="00F83E12">
      <w:pPr>
        <w:spacing w:after="0"/>
        <w:jc w:val="both"/>
        <w:rPr>
          <w:rFonts w:cs="David"/>
          <w:sz w:val="24"/>
          <w:szCs w:val="24"/>
          <w:rtl/>
        </w:rPr>
      </w:pPr>
      <w:r w:rsidRPr="00FF0F20">
        <w:rPr>
          <w:rFonts w:cs="David"/>
          <w:sz w:val="24"/>
          <w:szCs w:val="24"/>
          <w:rtl/>
        </w:rPr>
        <w:t>כל המתאבל על ירושלים זוכה ורואה בשמחתה. הכלל הוא, כל כ</w:t>
      </w:r>
      <w:r w:rsidRPr="00FF0F20">
        <w:rPr>
          <w:rFonts w:cs="David" w:hint="cs"/>
          <w:sz w:val="24"/>
          <w:szCs w:val="24"/>
          <w:rtl/>
        </w:rPr>
        <w:t>ו</w:t>
      </w:r>
      <w:r w:rsidRPr="00FF0F20">
        <w:rPr>
          <w:rFonts w:cs="David"/>
          <w:sz w:val="24"/>
          <w:szCs w:val="24"/>
          <w:rtl/>
        </w:rPr>
        <w:t>חות האדם נמשך אחר המחשבה</w:t>
      </w:r>
      <w:r w:rsidRPr="00FF0F20">
        <w:rPr>
          <w:rFonts w:cs="David" w:hint="cs"/>
          <w:sz w:val="24"/>
          <w:szCs w:val="24"/>
          <w:rtl/>
        </w:rPr>
        <w:t xml:space="preserve"> </w:t>
      </w:r>
      <w:r w:rsidRPr="00FF0F20">
        <w:rPr>
          <w:rFonts w:cs="David"/>
          <w:sz w:val="24"/>
          <w:szCs w:val="24"/>
          <w:rtl/>
        </w:rPr>
        <w:t xml:space="preserve"> בזה שהאדם חושב נמשך כל עצמות האדם</w:t>
      </w:r>
      <w:r w:rsidRPr="00FF0F20">
        <w:rPr>
          <w:rFonts w:cs="David" w:hint="cs"/>
          <w:sz w:val="24"/>
          <w:szCs w:val="24"/>
          <w:rtl/>
        </w:rPr>
        <w:t xml:space="preserve">, </w:t>
      </w:r>
      <w:r w:rsidRPr="007E3508">
        <w:rPr>
          <w:rFonts w:cs="David"/>
          <w:i/>
          <w:iCs/>
          <w:sz w:val="24"/>
          <w:szCs w:val="24"/>
          <w:rtl/>
        </w:rPr>
        <w:t>ונמצא כאשר האדם חושב בקדושה ומתאבל על ירושלים אז מחשבתו ועצמותו בקדושה וזוכה הוא לשון ה</w:t>
      </w:r>
      <w:r w:rsidRPr="00FF0F20">
        <w:rPr>
          <w:rFonts w:cs="David"/>
          <w:i/>
          <w:iCs/>
          <w:sz w:val="24"/>
          <w:szCs w:val="24"/>
          <w:rtl/>
        </w:rPr>
        <w:t>זדככות</w:t>
      </w:r>
      <w:r w:rsidRPr="00FF0F20">
        <w:rPr>
          <w:rFonts w:cs="David"/>
          <w:sz w:val="24"/>
          <w:szCs w:val="24"/>
          <w:rtl/>
        </w:rPr>
        <w:t>, אז האדם מזדכך ורואה עתה בשמחה קצת, דהיינו קצת משמחת ירושלים איך יהיה לעתיד לבו</w:t>
      </w:r>
      <w:r w:rsidRPr="00FF0F20">
        <w:rPr>
          <w:rFonts w:cs="David" w:hint="cs"/>
          <w:sz w:val="24"/>
          <w:szCs w:val="24"/>
          <w:rtl/>
        </w:rPr>
        <w:t xml:space="preserve">א </w:t>
      </w:r>
      <w:r w:rsidRPr="00130E0A">
        <w:rPr>
          <w:rFonts w:cs="David" w:hint="cs"/>
          <w:sz w:val="20"/>
          <w:szCs w:val="20"/>
          <w:rtl/>
        </w:rPr>
        <w:t>(קדושת לוי, מגילת איכה).</w:t>
      </w:r>
      <w:r w:rsidRPr="00FF0F20">
        <w:rPr>
          <w:rFonts w:cs="David" w:hint="cs"/>
          <w:sz w:val="24"/>
          <w:szCs w:val="24"/>
          <w:rtl/>
        </w:rPr>
        <w:t xml:space="preserve"> </w:t>
      </w:r>
    </w:p>
    <w:p w14:paraId="32104C5E" w14:textId="77777777" w:rsidR="00F83E12" w:rsidRPr="007E3508" w:rsidRDefault="00F83E12" w:rsidP="00F83E12">
      <w:pPr>
        <w:spacing w:after="0"/>
        <w:jc w:val="both"/>
        <w:rPr>
          <w:rFonts w:cs="David"/>
          <w:sz w:val="20"/>
          <w:szCs w:val="20"/>
          <w:rtl/>
        </w:rPr>
      </w:pPr>
      <w:r w:rsidRPr="00FF0F20">
        <w:rPr>
          <w:rFonts w:cs="David" w:hint="cs"/>
          <w:sz w:val="24"/>
          <w:szCs w:val="24"/>
          <w:rtl/>
        </w:rPr>
        <w:lastRenderedPageBreak/>
        <w:t>כלומר, יש מעט מהגאולה גם באבלות רק שצריך להכין את הנפש לכך. כל דור וכל אדם מכין קצת לקראת הגאולה, אם ע"י געגועים ואם ע"י ביטויים שונים של עבודת ה'</w:t>
      </w:r>
      <w:r>
        <w:rPr>
          <w:rFonts w:cs="David" w:hint="cs"/>
          <w:sz w:val="24"/>
          <w:szCs w:val="24"/>
          <w:rtl/>
        </w:rPr>
        <w:t>,</w:t>
      </w:r>
      <w:r w:rsidRPr="00FF0F20">
        <w:rPr>
          <w:rFonts w:cs="David" w:hint="cs"/>
          <w:sz w:val="24"/>
          <w:szCs w:val="24"/>
          <w:rtl/>
        </w:rPr>
        <w:t xml:space="preserve"> וכך הסביר ה'שפת אמת' את דברי חז"ל </w:t>
      </w:r>
      <w:r>
        <w:rPr>
          <w:rFonts w:cs="David" w:hint="cs"/>
          <w:sz w:val="24"/>
          <w:szCs w:val="24"/>
          <w:rtl/>
        </w:rPr>
        <w:t>בירושלמי</w:t>
      </w:r>
      <w:r>
        <w:rPr>
          <w:rFonts w:hint="cs"/>
          <w:sz w:val="24"/>
          <w:rtl/>
        </w:rPr>
        <w:t xml:space="preserve"> </w:t>
      </w:r>
      <w:r w:rsidRPr="007E3508">
        <w:rPr>
          <w:rFonts w:cs="David" w:hint="cs"/>
          <w:sz w:val="24"/>
          <w:szCs w:val="24"/>
          <w:rtl/>
        </w:rPr>
        <w:t>במסכת יומא</w:t>
      </w:r>
      <w:r>
        <w:rPr>
          <w:rFonts w:hint="cs"/>
          <w:sz w:val="24"/>
          <w:rtl/>
        </w:rPr>
        <w:t>: "</w:t>
      </w:r>
      <w:r w:rsidRPr="00FF0F20">
        <w:rPr>
          <w:rFonts w:cs="David" w:hint="cs"/>
          <w:sz w:val="24"/>
          <w:szCs w:val="24"/>
          <w:rtl/>
        </w:rPr>
        <w:t>כל</w:t>
      </w:r>
      <w:r w:rsidRPr="00FF0F20">
        <w:rPr>
          <w:rFonts w:cs="David"/>
          <w:sz w:val="24"/>
          <w:szCs w:val="24"/>
          <w:rtl/>
        </w:rPr>
        <w:t xml:space="preserve"> </w:t>
      </w:r>
      <w:r w:rsidRPr="00FF0F20">
        <w:rPr>
          <w:rFonts w:cs="David" w:hint="cs"/>
          <w:sz w:val="24"/>
          <w:szCs w:val="24"/>
          <w:rtl/>
        </w:rPr>
        <w:t>דור</w:t>
      </w:r>
      <w:r w:rsidRPr="00FF0F20">
        <w:rPr>
          <w:rFonts w:cs="David"/>
          <w:sz w:val="24"/>
          <w:szCs w:val="24"/>
          <w:rtl/>
        </w:rPr>
        <w:t xml:space="preserve"> </w:t>
      </w:r>
      <w:r w:rsidRPr="00FF0F20">
        <w:rPr>
          <w:rFonts w:cs="David" w:hint="cs"/>
          <w:sz w:val="24"/>
          <w:szCs w:val="24"/>
          <w:rtl/>
        </w:rPr>
        <w:t>שאינו</w:t>
      </w:r>
      <w:r w:rsidRPr="00FF0F20">
        <w:rPr>
          <w:rFonts w:cs="David"/>
          <w:sz w:val="24"/>
          <w:szCs w:val="24"/>
          <w:rtl/>
        </w:rPr>
        <w:t xml:space="preserve"> </w:t>
      </w:r>
      <w:r w:rsidRPr="00FF0F20">
        <w:rPr>
          <w:rFonts w:cs="David" w:hint="cs"/>
          <w:sz w:val="24"/>
          <w:szCs w:val="24"/>
          <w:rtl/>
        </w:rPr>
        <w:t>נבנה</w:t>
      </w:r>
      <w:r w:rsidRPr="00FF0F20">
        <w:rPr>
          <w:rFonts w:cs="David"/>
          <w:sz w:val="24"/>
          <w:szCs w:val="24"/>
          <w:rtl/>
        </w:rPr>
        <w:t xml:space="preserve"> </w:t>
      </w:r>
      <w:r w:rsidRPr="00FF0F20">
        <w:rPr>
          <w:rFonts w:cs="David" w:hint="cs"/>
          <w:sz w:val="24"/>
          <w:szCs w:val="24"/>
          <w:rtl/>
        </w:rPr>
        <w:t>בימיו</w:t>
      </w:r>
      <w:r w:rsidRPr="00FF0F20">
        <w:rPr>
          <w:rFonts w:cs="David"/>
          <w:sz w:val="24"/>
          <w:szCs w:val="24"/>
          <w:rtl/>
        </w:rPr>
        <w:t xml:space="preserve"> </w:t>
      </w:r>
      <w:r w:rsidRPr="00FF0F20">
        <w:rPr>
          <w:rFonts w:cs="David" w:hint="cs"/>
          <w:sz w:val="24"/>
          <w:szCs w:val="24"/>
          <w:rtl/>
        </w:rPr>
        <w:t>מעלין</w:t>
      </w:r>
      <w:r w:rsidRPr="00FF0F20">
        <w:rPr>
          <w:rFonts w:cs="David"/>
          <w:sz w:val="24"/>
          <w:szCs w:val="24"/>
          <w:rtl/>
        </w:rPr>
        <w:t xml:space="preserve"> </w:t>
      </w:r>
      <w:r w:rsidRPr="00FF0F20">
        <w:rPr>
          <w:rFonts w:cs="David" w:hint="cs"/>
          <w:sz w:val="24"/>
          <w:szCs w:val="24"/>
          <w:rtl/>
        </w:rPr>
        <w:t>עליו</w:t>
      </w:r>
      <w:r w:rsidRPr="00FF0F20">
        <w:rPr>
          <w:rFonts w:cs="David"/>
          <w:sz w:val="24"/>
          <w:szCs w:val="24"/>
          <w:rtl/>
        </w:rPr>
        <w:t xml:space="preserve"> </w:t>
      </w:r>
      <w:r w:rsidRPr="00FF0F20">
        <w:rPr>
          <w:rFonts w:cs="David" w:hint="cs"/>
          <w:sz w:val="24"/>
          <w:szCs w:val="24"/>
          <w:rtl/>
        </w:rPr>
        <w:t>כאילו</w:t>
      </w:r>
      <w:r w:rsidRPr="00FF0F20">
        <w:rPr>
          <w:rFonts w:cs="David"/>
          <w:sz w:val="24"/>
          <w:szCs w:val="24"/>
          <w:rtl/>
        </w:rPr>
        <w:t xml:space="preserve"> </w:t>
      </w:r>
      <w:r w:rsidRPr="00FF0F20">
        <w:rPr>
          <w:rFonts w:cs="David" w:hint="cs"/>
          <w:sz w:val="24"/>
          <w:szCs w:val="24"/>
          <w:rtl/>
        </w:rPr>
        <w:t>הוא</w:t>
      </w:r>
      <w:r w:rsidRPr="00FF0F20">
        <w:rPr>
          <w:rFonts w:cs="David"/>
          <w:sz w:val="24"/>
          <w:szCs w:val="24"/>
          <w:rtl/>
        </w:rPr>
        <w:t xml:space="preserve"> </w:t>
      </w:r>
      <w:r w:rsidRPr="00FF0F20">
        <w:rPr>
          <w:rFonts w:cs="David" w:hint="cs"/>
          <w:sz w:val="24"/>
          <w:szCs w:val="24"/>
          <w:rtl/>
        </w:rPr>
        <w:t>החריבו</w:t>
      </w:r>
      <w:r>
        <w:rPr>
          <w:rFonts w:hint="cs"/>
          <w:sz w:val="24"/>
          <w:rtl/>
        </w:rPr>
        <w:t>"</w:t>
      </w:r>
      <w:r>
        <w:rPr>
          <w:rFonts w:cs="David" w:hint="cs"/>
          <w:sz w:val="24"/>
          <w:szCs w:val="24"/>
          <w:rtl/>
        </w:rPr>
        <w:t xml:space="preserve">. </w:t>
      </w:r>
    </w:p>
    <w:p w14:paraId="364E7955" w14:textId="77777777" w:rsidR="00F83E12" w:rsidRDefault="00F83E12" w:rsidP="00F83E12">
      <w:pPr>
        <w:autoSpaceDE w:val="0"/>
        <w:autoSpaceDN w:val="0"/>
        <w:adjustRightInd w:val="0"/>
        <w:spacing w:after="0"/>
        <w:jc w:val="both"/>
        <w:rPr>
          <w:rFonts w:cs="David"/>
          <w:sz w:val="20"/>
          <w:szCs w:val="20"/>
          <w:rtl/>
        </w:rPr>
      </w:pPr>
      <w:r w:rsidRPr="00FF0F20">
        <w:rPr>
          <w:rFonts w:cs="David" w:hint="cs"/>
          <w:sz w:val="24"/>
          <w:szCs w:val="24"/>
          <w:rtl/>
        </w:rPr>
        <w:t>"...</w:t>
      </w:r>
      <w:r w:rsidRPr="00FF0F20">
        <w:rPr>
          <w:rFonts w:cs="David"/>
          <w:sz w:val="24"/>
          <w:szCs w:val="24"/>
          <w:rtl/>
        </w:rPr>
        <w:t>קשה להבין שהיו הרבה דורות צדיקי עליון שנאמר שהי</w:t>
      </w:r>
      <w:r>
        <w:rPr>
          <w:rFonts w:cs="David" w:hint="cs"/>
          <w:sz w:val="24"/>
          <w:szCs w:val="24"/>
          <w:rtl/>
        </w:rPr>
        <w:t>ה</w:t>
      </w:r>
      <w:r w:rsidRPr="00FF0F20">
        <w:rPr>
          <w:rFonts w:cs="David"/>
          <w:sz w:val="24"/>
          <w:szCs w:val="24"/>
          <w:rtl/>
        </w:rPr>
        <w:t xml:space="preserve"> ראוי להיות נחרב בימיהם. ונראה לפרש כי כל ימי הדורות </w:t>
      </w:r>
      <w:proofErr w:type="spellStart"/>
      <w:r w:rsidRPr="00FF0F20">
        <w:rPr>
          <w:rFonts w:cs="David"/>
          <w:sz w:val="24"/>
          <w:szCs w:val="24"/>
          <w:rtl/>
        </w:rPr>
        <w:t>מצטרפין</w:t>
      </w:r>
      <w:proofErr w:type="spellEnd"/>
      <w:r w:rsidRPr="00FF0F20">
        <w:rPr>
          <w:rFonts w:cs="David"/>
          <w:sz w:val="24"/>
          <w:szCs w:val="24"/>
          <w:rtl/>
        </w:rPr>
        <w:t xml:space="preserve"> </w:t>
      </w:r>
      <w:proofErr w:type="spellStart"/>
      <w:r w:rsidRPr="00FF0F20">
        <w:rPr>
          <w:rFonts w:cs="David"/>
          <w:sz w:val="24"/>
          <w:szCs w:val="24"/>
          <w:rtl/>
        </w:rPr>
        <w:t>ומתכנסין</w:t>
      </w:r>
      <w:proofErr w:type="spellEnd"/>
      <w:r w:rsidRPr="00FF0F20">
        <w:rPr>
          <w:rFonts w:cs="David"/>
          <w:sz w:val="24"/>
          <w:szCs w:val="24"/>
          <w:rtl/>
        </w:rPr>
        <w:t xml:space="preserve"> כל ההארות של עבודת </w:t>
      </w:r>
      <w:proofErr w:type="spellStart"/>
      <w:r w:rsidRPr="00FF0F20">
        <w:rPr>
          <w:rFonts w:cs="David"/>
          <w:sz w:val="24"/>
          <w:szCs w:val="24"/>
          <w:rtl/>
        </w:rPr>
        <w:t>בנ"י</w:t>
      </w:r>
      <w:proofErr w:type="spellEnd"/>
      <w:r w:rsidRPr="00FF0F20">
        <w:rPr>
          <w:rFonts w:cs="David"/>
          <w:sz w:val="24"/>
          <w:szCs w:val="24"/>
          <w:rtl/>
        </w:rPr>
        <w:t xml:space="preserve"> להיות </w:t>
      </w:r>
      <w:proofErr w:type="spellStart"/>
      <w:r w:rsidRPr="00FF0F20">
        <w:rPr>
          <w:rFonts w:cs="David"/>
          <w:sz w:val="24"/>
          <w:szCs w:val="24"/>
          <w:rtl/>
        </w:rPr>
        <w:t>ראוין</w:t>
      </w:r>
      <w:proofErr w:type="spellEnd"/>
      <w:r w:rsidRPr="00FF0F20">
        <w:rPr>
          <w:rFonts w:cs="David"/>
          <w:sz w:val="24"/>
          <w:szCs w:val="24"/>
          <w:rtl/>
        </w:rPr>
        <w:t xml:space="preserve"> לגאולה, כי היעלה על הדעת שדור הגאולה יהי</w:t>
      </w:r>
      <w:r w:rsidRPr="00FF0F20">
        <w:rPr>
          <w:rFonts w:cs="David" w:hint="eastAsia"/>
          <w:sz w:val="24"/>
          <w:szCs w:val="24"/>
          <w:rtl/>
        </w:rPr>
        <w:t>ו</w:t>
      </w:r>
      <w:r w:rsidRPr="00FF0F20">
        <w:rPr>
          <w:rFonts w:cs="David"/>
          <w:sz w:val="24"/>
          <w:szCs w:val="24"/>
          <w:rtl/>
        </w:rPr>
        <w:t xml:space="preserve"> כ"כ </w:t>
      </w:r>
      <w:proofErr w:type="spellStart"/>
      <w:r w:rsidRPr="00FF0F20">
        <w:rPr>
          <w:rFonts w:cs="David"/>
          <w:sz w:val="24"/>
          <w:szCs w:val="24"/>
          <w:rtl/>
        </w:rPr>
        <w:t>ראוין</w:t>
      </w:r>
      <w:proofErr w:type="spellEnd"/>
      <w:r w:rsidRPr="00FF0F20">
        <w:rPr>
          <w:rFonts w:cs="David"/>
          <w:sz w:val="24"/>
          <w:szCs w:val="24"/>
          <w:rtl/>
        </w:rPr>
        <w:t xml:space="preserve"> בזכותם בלבד לגאולה. רק שזכות כל דור ודור עוזר ומביא מעט בנין בהמ"ק. </w:t>
      </w:r>
      <w:proofErr w:type="spellStart"/>
      <w:r w:rsidRPr="00FF0F20">
        <w:rPr>
          <w:rFonts w:cs="David"/>
          <w:sz w:val="24"/>
          <w:szCs w:val="24"/>
          <w:rtl/>
        </w:rPr>
        <w:t>והבנין</w:t>
      </w:r>
      <w:proofErr w:type="spellEnd"/>
      <w:r w:rsidRPr="00FF0F20">
        <w:rPr>
          <w:rFonts w:cs="David"/>
          <w:sz w:val="24"/>
          <w:szCs w:val="24"/>
          <w:rtl/>
        </w:rPr>
        <w:t xml:space="preserve"> נמשך כל ימי הגלות כמאמר בונה ירושל</w:t>
      </w:r>
      <w:r w:rsidRPr="00FF0F20">
        <w:rPr>
          <w:rFonts w:cs="David" w:hint="cs"/>
          <w:sz w:val="24"/>
          <w:szCs w:val="24"/>
          <w:rtl/>
        </w:rPr>
        <w:t>ים [הכוונה שהפועל "בונה" הוא בלשון הווה]</w:t>
      </w:r>
      <w:r w:rsidRPr="00FF0F20">
        <w:rPr>
          <w:rFonts w:cs="David"/>
          <w:sz w:val="24"/>
          <w:szCs w:val="24"/>
          <w:rtl/>
        </w:rPr>
        <w:t>.</w:t>
      </w:r>
      <w:r w:rsidRPr="00FF0F20">
        <w:rPr>
          <w:rFonts w:cs="David" w:hint="cs"/>
          <w:sz w:val="24"/>
          <w:szCs w:val="24"/>
          <w:rtl/>
        </w:rPr>
        <w:t>..</w:t>
      </w:r>
      <w:r w:rsidRPr="00FF0F20">
        <w:rPr>
          <w:rFonts w:cs="David"/>
          <w:sz w:val="24"/>
          <w:szCs w:val="24"/>
          <w:rtl/>
        </w:rPr>
        <w:t xml:space="preserve"> </w:t>
      </w:r>
      <w:proofErr w:type="spellStart"/>
      <w:r w:rsidRPr="00FF0F20">
        <w:rPr>
          <w:rFonts w:cs="David"/>
          <w:sz w:val="24"/>
          <w:szCs w:val="24"/>
          <w:rtl/>
        </w:rPr>
        <w:t>וז"ש</w:t>
      </w:r>
      <w:proofErr w:type="spellEnd"/>
      <w:r w:rsidRPr="00FF0F20">
        <w:rPr>
          <w:rFonts w:cs="David"/>
          <w:sz w:val="24"/>
          <w:szCs w:val="24"/>
          <w:rtl/>
        </w:rPr>
        <w:t xml:space="preserve"> שאינו נבנה בימיו שאין ימיו בכלל </w:t>
      </w:r>
      <w:proofErr w:type="spellStart"/>
      <w:r w:rsidRPr="00FF0F20">
        <w:rPr>
          <w:rFonts w:cs="David"/>
          <w:sz w:val="24"/>
          <w:szCs w:val="24"/>
          <w:rtl/>
        </w:rPr>
        <w:t>הבנין</w:t>
      </w:r>
      <w:proofErr w:type="spellEnd"/>
      <w:r w:rsidRPr="00FF0F20">
        <w:rPr>
          <w:rFonts w:cs="David"/>
          <w:sz w:val="24"/>
          <w:szCs w:val="24"/>
          <w:rtl/>
        </w:rPr>
        <w:t xml:space="preserve"> כנ"ל. וכל אדם בפרט ג"כ צריך לידע שכל מעשיו הם סיוע </w:t>
      </w:r>
      <w:proofErr w:type="spellStart"/>
      <w:r w:rsidRPr="00FF0F20">
        <w:rPr>
          <w:rFonts w:cs="David"/>
          <w:sz w:val="24"/>
          <w:szCs w:val="24"/>
          <w:rtl/>
        </w:rPr>
        <w:t>לבנין</w:t>
      </w:r>
      <w:proofErr w:type="spellEnd"/>
      <w:r w:rsidRPr="00FF0F20">
        <w:rPr>
          <w:rFonts w:cs="David"/>
          <w:sz w:val="24"/>
          <w:szCs w:val="24"/>
          <w:rtl/>
        </w:rPr>
        <w:t xml:space="preserve"> בהמ"ק. וכפי מה </w:t>
      </w:r>
      <w:proofErr w:type="spellStart"/>
      <w:r w:rsidRPr="00FF0F20">
        <w:rPr>
          <w:rFonts w:cs="David"/>
          <w:sz w:val="24"/>
          <w:szCs w:val="24"/>
          <w:rtl/>
        </w:rPr>
        <w:t>שמקבלין</w:t>
      </w:r>
      <w:proofErr w:type="spellEnd"/>
      <w:r w:rsidRPr="00FF0F20">
        <w:rPr>
          <w:rFonts w:cs="David"/>
          <w:sz w:val="24"/>
          <w:szCs w:val="24"/>
          <w:rtl/>
        </w:rPr>
        <w:t xml:space="preserve"> ע</w:t>
      </w:r>
      <w:r w:rsidRPr="00FF0F20">
        <w:rPr>
          <w:rFonts w:cs="David" w:hint="cs"/>
          <w:sz w:val="24"/>
          <w:szCs w:val="24"/>
          <w:rtl/>
        </w:rPr>
        <w:t xml:space="preserve">ל עצמו </w:t>
      </w:r>
      <w:r w:rsidRPr="00FF0F20">
        <w:rPr>
          <w:rFonts w:cs="David"/>
          <w:sz w:val="24"/>
          <w:szCs w:val="24"/>
          <w:rtl/>
        </w:rPr>
        <w:t xml:space="preserve">עול מלכות שמים </w:t>
      </w:r>
      <w:proofErr w:type="spellStart"/>
      <w:r w:rsidRPr="00FF0F20">
        <w:rPr>
          <w:rFonts w:cs="David"/>
          <w:sz w:val="24"/>
          <w:szCs w:val="24"/>
          <w:rtl/>
        </w:rPr>
        <w:t>מסייעין</w:t>
      </w:r>
      <w:proofErr w:type="spellEnd"/>
      <w:r w:rsidRPr="00FF0F20">
        <w:rPr>
          <w:rFonts w:cs="David"/>
          <w:sz w:val="24"/>
          <w:szCs w:val="24"/>
          <w:rtl/>
        </w:rPr>
        <w:t xml:space="preserve"> לבנינו כמ"ש </w:t>
      </w:r>
      <w:proofErr w:type="spellStart"/>
      <w:r w:rsidRPr="00FF0F20">
        <w:rPr>
          <w:rFonts w:cs="David"/>
          <w:sz w:val="24"/>
          <w:szCs w:val="24"/>
          <w:rtl/>
        </w:rPr>
        <w:t>הכל</w:t>
      </w:r>
      <w:proofErr w:type="spellEnd"/>
      <w:r w:rsidRPr="00FF0F20">
        <w:rPr>
          <w:rFonts w:cs="David"/>
          <w:sz w:val="24"/>
          <w:szCs w:val="24"/>
          <w:rtl/>
        </w:rPr>
        <w:t xml:space="preserve"> </w:t>
      </w:r>
      <w:proofErr w:type="spellStart"/>
      <w:r w:rsidRPr="00FF0F20">
        <w:rPr>
          <w:rFonts w:cs="David"/>
          <w:sz w:val="24"/>
          <w:szCs w:val="24"/>
          <w:rtl/>
        </w:rPr>
        <w:t>מסייעין</w:t>
      </w:r>
      <w:proofErr w:type="spellEnd"/>
      <w:r w:rsidRPr="00FF0F20">
        <w:rPr>
          <w:rFonts w:cs="David"/>
          <w:sz w:val="24"/>
          <w:szCs w:val="24"/>
          <w:rtl/>
        </w:rPr>
        <w:t xml:space="preserve"> לבנינו של מלך</w:t>
      </w:r>
      <w:r w:rsidRPr="007E3508">
        <w:rPr>
          <w:rFonts w:cs="David" w:hint="cs"/>
          <w:sz w:val="20"/>
          <w:szCs w:val="20"/>
          <w:rtl/>
        </w:rPr>
        <w:t>.</w:t>
      </w:r>
      <w:r>
        <w:rPr>
          <w:rFonts w:cs="David" w:hint="cs"/>
          <w:sz w:val="20"/>
          <w:szCs w:val="20"/>
          <w:rtl/>
        </w:rPr>
        <w:t>(</w:t>
      </w:r>
      <w:r w:rsidRPr="007E3508">
        <w:rPr>
          <w:rFonts w:cs="David" w:hint="cs"/>
          <w:sz w:val="20"/>
          <w:szCs w:val="20"/>
          <w:rtl/>
        </w:rPr>
        <w:t xml:space="preserve"> </w:t>
      </w:r>
      <w:r w:rsidRPr="007E3508">
        <w:rPr>
          <w:rFonts w:cs="David"/>
          <w:sz w:val="20"/>
          <w:szCs w:val="20"/>
          <w:rtl/>
        </w:rPr>
        <w:t>פרשת דברים</w:t>
      </w:r>
      <w:r w:rsidRPr="007E3508">
        <w:rPr>
          <w:rFonts w:cs="David" w:hint="cs"/>
          <w:sz w:val="20"/>
          <w:szCs w:val="20"/>
          <w:rtl/>
        </w:rPr>
        <w:t xml:space="preserve">, </w:t>
      </w:r>
      <w:r w:rsidRPr="007E3508">
        <w:rPr>
          <w:rFonts w:cs="David"/>
          <w:sz w:val="20"/>
          <w:szCs w:val="20"/>
          <w:rtl/>
        </w:rPr>
        <w:t xml:space="preserve">שנת תרל"ד </w:t>
      </w:r>
      <w:r>
        <w:rPr>
          <w:rFonts w:cs="David" w:hint="cs"/>
          <w:sz w:val="20"/>
          <w:szCs w:val="20"/>
          <w:rtl/>
        </w:rPr>
        <w:t>).</w:t>
      </w:r>
    </w:p>
    <w:p w14:paraId="7B917AC8" w14:textId="77777777" w:rsidR="00F83E12" w:rsidRPr="00FF0F20" w:rsidRDefault="00F83E12" w:rsidP="00F83E12">
      <w:pPr>
        <w:pStyle w:val="ab"/>
        <w:spacing w:line="276" w:lineRule="auto"/>
        <w:rPr>
          <w:sz w:val="24"/>
          <w:rtl/>
        </w:rPr>
      </w:pPr>
    </w:p>
    <w:p w14:paraId="172040BF" w14:textId="77777777" w:rsidR="00F83E12" w:rsidRPr="00FF0F20" w:rsidRDefault="00F83E12" w:rsidP="00F83E12">
      <w:pPr>
        <w:autoSpaceDE w:val="0"/>
        <w:autoSpaceDN w:val="0"/>
        <w:adjustRightInd w:val="0"/>
        <w:spacing w:after="0"/>
        <w:jc w:val="both"/>
        <w:rPr>
          <w:rFonts w:cs="David"/>
          <w:sz w:val="24"/>
          <w:szCs w:val="24"/>
          <w:rtl/>
        </w:rPr>
      </w:pPr>
      <w:r w:rsidRPr="00130E0A">
        <w:rPr>
          <w:rFonts w:cs="David" w:hint="cs"/>
          <w:sz w:val="24"/>
          <w:szCs w:val="24"/>
          <w:rtl/>
        </w:rPr>
        <w:t>העולה מתוך המקורות החסידיים הוא כי שבת חזון אינה רק חזון ישעיהו המוכיח</w:t>
      </w:r>
      <w:r>
        <w:rPr>
          <w:rFonts w:cs="David" w:hint="cs"/>
          <w:sz w:val="24"/>
          <w:szCs w:val="24"/>
          <w:rtl/>
        </w:rPr>
        <w:t>,</w:t>
      </w:r>
      <w:r w:rsidRPr="00130E0A">
        <w:rPr>
          <w:rFonts w:cs="David" w:hint="cs"/>
          <w:sz w:val="24"/>
          <w:szCs w:val="24"/>
          <w:rtl/>
        </w:rPr>
        <w:t xml:space="preserve"> אלא היא גם החזון המדבר מתוך </w:t>
      </w:r>
      <w:proofErr w:type="spellStart"/>
      <w:r w:rsidRPr="00130E0A">
        <w:rPr>
          <w:rFonts w:cs="David" w:hint="cs"/>
          <w:sz w:val="24"/>
          <w:szCs w:val="24"/>
          <w:rtl/>
        </w:rPr>
        <w:t>החרבן</w:t>
      </w:r>
      <w:proofErr w:type="spellEnd"/>
      <w:r w:rsidRPr="00130E0A">
        <w:rPr>
          <w:rFonts w:cs="David" w:hint="cs"/>
          <w:sz w:val="24"/>
          <w:szCs w:val="24"/>
          <w:rtl/>
        </w:rPr>
        <w:t xml:space="preserve"> ומנבא גאולה עתידית </w:t>
      </w:r>
      <w:proofErr w:type="spellStart"/>
      <w:r w:rsidRPr="00130E0A">
        <w:rPr>
          <w:rFonts w:cs="David" w:hint="cs"/>
          <w:sz w:val="24"/>
          <w:szCs w:val="24"/>
          <w:rtl/>
        </w:rPr>
        <w:t>שניצ</w:t>
      </w:r>
      <w:r>
        <w:rPr>
          <w:rFonts w:cs="David" w:hint="cs"/>
          <w:sz w:val="24"/>
          <w:szCs w:val="24"/>
          <w:rtl/>
        </w:rPr>
        <w:t>נוציה</w:t>
      </w:r>
      <w:proofErr w:type="spellEnd"/>
      <w:r>
        <w:rPr>
          <w:rFonts w:cs="David" w:hint="cs"/>
          <w:sz w:val="24"/>
          <w:szCs w:val="24"/>
          <w:rtl/>
        </w:rPr>
        <w:t xml:space="preserve"> ט</w:t>
      </w:r>
      <w:r w:rsidRPr="00130E0A">
        <w:rPr>
          <w:rFonts w:cs="David" w:hint="cs"/>
          <w:sz w:val="24"/>
          <w:szCs w:val="24"/>
          <w:rtl/>
        </w:rPr>
        <w:t>מ</w:t>
      </w:r>
      <w:r>
        <w:rPr>
          <w:rFonts w:cs="David" w:hint="cs"/>
          <w:sz w:val="24"/>
          <w:szCs w:val="24"/>
          <w:rtl/>
        </w:rPr>
        <w:t>ו</w:t>
      </w:r>
      <w:r w:rsidRPr="00130E0A">
        <w:rPr>
          <w:rFonts w:cs="David" w:hint="cs"/>
          <w:sz w:val="24"/>
          <w:szCs w:val="24"/>
          <w:rtl/>
        </w:rPr>
        <w:t>נים כבר בגלות</w:t>
      </w:r>
      <w:r>
        <w:rPr>
          <w:rFonts w:cs="David" w:hint="cs"/>
          <w:sz w:val="24"/>
          <w:szCs w:val="24"/>
          <w:rtl/>
        </w:rPr>
        <w:t>.</w:t>
      </w:r>
    </w:p>
    <w:p w14:paraId="1BBCB5DE" w14:textId="2C4AECAB" w:rsidR="00FA2F35" w:rsidRPr="009C6A8B" w:rsidRDefault="00FA2F35" w:rsidP="00F83E12">
      <w:pPr>
        <w:spacing w:after="0" w:line="280" w:lineRule="exact"/>
        <w:rPr>
          <w:sz w:val="20"/>
          <w:szCs w:val="20"/>
          <w:rtl/>
        </w:rPr>
      </w:pPr>
    </w:p>
    <w:sectPr w:rsidR="00FA2F35" w:rsidRPr="009C6A8B"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18144C"/>
    <w:rsid w:val="00215C70"/>
    <w:rsid w:val="00267ABD"/>
    <w:rsid w:val="0029221E"/>
    <w:rsid w:val="00332622"/>
    <w:rsid w:val="003842F2"/>
    <w:rsid w:val="004B1F67"/>
    <w:rsid w:val="00535FAE"/>
    <w:rsid w:val="006357B9"/>
    <w:rsid w:val="006A647B"/>
    <w:rsid w:val="006B5312"/>
    <w:rsid w:val="00890346"/>
    <w:rsid w:val="00997F89"/>
    <w:rsid w:val="009A6FCA"/>
    <w:rsid w:val="009C6A8B"/>
    <w:rsid w:val="00A135D3"/>
    <w:rsid w:val="00A248B7"/>
    <w:rsid w:val="00B215CE"/>
    <w:rsid w:val="00B33304"/>
    <w:rsid w:val="00B43C88"/>
    <w:rsid w:val="00B85544"/>
    <w:rsid w:val="00C55370"/>
    <w:rsid w:val="00D20DA6"/>
    <w:rsid w:val="00E108A1"/>
    <w:rsid w:val="00E82C1A"/>
    <w:rsid w:val="00EB5FAC"/>
    <w:rsid w:val="00F1393D"/>
    <w:rsid w:val="00F5739A"/>
    <w:rsid w:val="00F83E12"/>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bu11">
    <w:name w:val="dbu11"/>
    <w:basedOn w:val="a"/>
    <w:rsid w:val="00890346"/>
    <w:pPr>
      <w:bidi w:val="0"/>
      <w:spacing w:after="0" w:line="240" w:lineRule="auto"/>
    </w:pPr>
    <w:rPr>
      <w:rFonts w:ascii="Times New Roman" w:hAnsi="Times New Roman" w:cs="Times New Roman"/>
      <w:sz w:val="24"/>
      <w:szCs w:val="24"/>
    </w:rPr>
  </w:style>
  <w:style w:type="paragraph" w:customStyle="1" w:styleId="d11">
    <w:name w:val="d11"/>
    <w:basedOn w:val="a"/>
    <w:rsid w:val="00890346"/>
    <w:pPr>
      <w:bidi w:val="0"/>
      <w:spacing w:after="0" w:line="240" w:lineRule="auto"/>
    </w:pPr>
    <w:rPr>
      <w:rFonts w:ascii="Times New Roman" w:hAnsi="Times New Roman" w:cs="Times New Roman"/>
      <w:sz w:val="24"/>
      <w:szCs w:val="24"/>
    </w:rPr>
  </w:style>
  <w:style w:type="paragraph" w:styleId="ab">
    <w:name w:val="Body Text"/>
    <w:basedOn w:val="a"/>
    <w:link w:val="ac"/>
    <w:rsid w:val="00F83E12"/>
    <w:pPr>
      <w:spacing w:after="0" w:line="360" w:lineRule="auto"/>
      <w:jc w:val="both"/>
    </w:pPr>
    <w:rPr>
      <w:rFonts w:ascii="Times New Roman" w:eastAsia="Times New Roman" w:hAnsi="Times New Roman" w:cs="David"/>
      <w:noProof/>
      <w:sz w:val="26"/>
      <w:szCs w:val="24"/>
      <w:lang w:eastAsia="he-IL"/>
    </w:rPr>
  </w:style>
  <w:style w:type="character" w:customStyle="1" w:styleId="ac">
    <w:name w:val="גוף טקסט תו"/>
    <w:basedOn w:val="a0"/>
    <w:link w:val="ab"/>
    <w:rsid w:val="00F83E12"/>
    <w:rPr>
      <w:rFonts w:ascii="Times New Roman" w:eastAsia="Times New Roman" w:hAnsi="Times New Roman" w:cs="David"/>
      <w:noProof/>
      <w:sz w:val="26"/>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3314</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cp:lastPrinted>2021-07-07T08:55:00Z</cp:lastPrinted>
  <dcterms:created xsi:type="dcterms:W3CDTF">2021-07-14T09:25:00Z</dcterms:created>
  <dcterms:modified xsi:type="dcterms:W3CDTF">2021-07-14T09:25:00Z</dcterms:modified>
</cp:coreProperties>
</file>