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DFBA" w14:textId="12AA0DF5" w:rsidR="00E108A1" w:rsidRPr="00535FAE" w:rsidRDefault="00E108A1" w:rsidP="00890552">
      <w:pPr>
        <w:pStyle w:val="1"/>
        <w:jc w:val="left"/>
        <w:rPr>
          <w:sz w:val="44"/>
          <w:szCs w:val="44"/>
          <w:rtl/>
        </w:rPr>
      </w:pPr>
      <w:r>
        <w:rPr>
          <w:rFonts w:hint="cs"/>
          <w:sz w:val="24"/>
          <w:szCs w:val="24"/>
          <w:rtl/>
        </w:rPr>
        <w:t xml:space="preserve">בס"ד, </w:t>
      </w:r>
      <w:r w:rsidR="00890552">
        <w:rPr>
          <w:rFonts w:hint="cs"/>
          <w:sz w:val="24"/>
          <w:szCs w:val="24"/>
          <w:rtl/>
        </w:rPr>
        <w:t>סיון</w:t>
      </w:r>
      <w:r w:rsidR="0089034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תשפ"א</w:t>
      </w:r>
    </w:p>
    <w:p w14:paraId="08BE8951" w14:textId="0AFF6B0A" w:rsidR="009C6A8B" w:rsidRPr="00890552" w:rsidRDefault="00E108A1" w:rsidP="00890552">
      <w:pPr>
        <w:pStyle w:val="1"/>
        <w:rPr>
          <w:sz w:val="44"/>
          <w:szCs w:val="44"/>
          <w:rtl/>
        </w:rPr>
      </w:pPr>
      <w:r w:rsidRPr="00535FAE">
        <w:rPr>
          <w:rFonts w:hint="cs"/>
          <w:sz w:val="44"/>
          <w:szCs w:val="44"/>
          <w:rtl/>
        </w:rPr>
        <w:t xml:space="preserve">דבר תורה לפרשת </w:t>
      </w:r>
      <w:r w:rsidR="00890552">
        <w:rPr>
          <w:rFonts w:hint="cs"/>
          <w:sz w:val="44"/>
          <w:szCs w:val="44"/>
          <w:rtl/>
        </w:rPr>
        <w:t>בהעלותך</w:t>
      </w:r>
      <w:r w:rsidR="00535FAE" w:rsidRPr="00535FAE">
        <w:rPr>
          <w:rFonts w:hint="cs"/>
          <w:sz w:val="44"/>
          <w:szCs w:val="44"/>
          <w:rtl/>
        </w:rPr>
        <w:t xml:space="preserve"> </w:t>
      </w:r>
      <w:r w:rsidRPr="00535FAE">
        <w:rPr>
          <w:sz w:val="44"/>
          <w:szCs w:val="44"/>
          <w:rtl/>
        </w:rPr>
        <w:t>–</w:t>
      </w:r>
      <w:r w:rsidR="00890346">
        <w:rPr>
          <w:rFonts w:hint="cs"/>
          <w:sz w:val="44"/>
          <w:szCs w:val="44"/>
          <w:rtl/>
        </w:rPr>
        <w:t xml:space="preserve"> </w:t>
      </w:r>
      <w:r w:rsidR="009C6A8B">
        <w:rPr>
          <w:rFonts w:hint="cs"/>
          <w:sz w:val="44"/>
          <w:szCs w:val="44"/>
          <w:rtl/>
        </w:rPr>
        <w:t>יעל שלוסברג</w:t>
      </w:r>
      <w:bookmarkStart w:id="0" w:name="_gjdgxs" w:colFirst="0" w:colLast="0"/>
      <w:bookmarkStart w:id="1" w:name="_GoBack"/>
      <w:bookmarkEnd w:id="0"/>
      <w:bookmarkEnd w:id="1"/>
    </w:p>
    <w:p w14:paraId="03F76FFE" w14:textId="77777777" w:rsidR="00890552" w:rsidRDefault="00890552" w:rsidP="00890552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פרשת בהעלותך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הפרשה השלישית בחומש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מזמנת לנו הזדמנות נוספת להתבונן במבנה הספר כולו.</w:t>
      </w:r>
    </w:p>
    <w:p w14:paraId="46901D58" w14:textId="77777777" w:rsidR="00890552" w:rsidRPr="003D4B5B" w:rsidRDefault="00890552" w:rsidP="00890552">
      <w:pPr>
        <w:jc w:val="both"/>
        <w:rPr>
          <w:rFonts w:cs="David"/>
          <w:sz w:val="28"/>
          <w:szCs w:val="28"/>
          <w:rtl/>
        </w:rPr>
      </w:pPr>
      <w:r w:rsidRPr="003D4B5B">
        <w:rPr>
          <w:rFonts w:cs="David" w:hint="cs"/>
          <w:sz w:val="28"/>
          <w:szCs w:val="28"/>
          <w:rtl/>
        </w:rPr>
        <w:t xml:space="preserve">להבנת מבנה </w:t>
      </w:r>
      <w:r>
        <w:rPr>
          <w:rFonts w:cs="David" w:hint="cs"/>
          <w:sz w:val="28"/>
          <w:szCs w:val="28"/>
          <w:rtl/>
        </w:rPr>
        <w:t xml:space="preserve">חומש במדבר </w:t>
      </w:r>
      <w:r w:rsidRPr="003D4B5B">
        <w:rPr>
          <w:rFonts w:cs="David" w:hint="cs"/>
          <w:sz w:val="28"/>
          <w:szCs w:val="28"/>
          <w:rtl/>
        </w:rPr>
        <w:t>ניתן להציע מספר חלופות. כל חלופה מאפשרת נקודת מבט שונה על הספר ומייצרת כמובן הדגשים שונים.</w:t>
      </w:r>
      <w:r>
        <w:rPr>
          <w:rFonts w:cs="David" w:hint="cs"/>
          <w:sz w:val="28"/>
          <w:szCs w:val="28"/>
          <w:rtl/>
        </w:rPr>
        <w:t xml:space="preserve"> נציג שתי אפשרויות:</w:t>
      </w:r>
    </w:p>
    <w:p w14:paraId="21C28A0B" w14:textId="77777777" w:rsidR="00890552" w:rsidRPr="006C7200" w:rsidRDefault="00890552" w:rsidP="00890552">
      <w:pPr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הצעה</w:t>
      </w:r>
      <w:r w:rsidRPr="006C7200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ראשונה, מחלקת את החומש לשני</w:t>
      </w:r>
      <w:r w:rsidRPr="007979ED">
        <w:rPr>
          <w:rFonts w:cs="David" w:hint="cs"/>
          <w:b/>
          <w:bCs/>
          <w:sz w:val="28"/>
          <w:szCs w:val="28"/>
          <w:rtl/>
        </w:rPr>
        <w:t xml:space="preserve"> חלקים</w:t>
      </w:r>
      <w:r>
        <w:rPr>
          <w:rFonts w:cs="David" w:hint="cs"/>
          <w:b/>
          <w:bCs/>
          <w:sz w:val="28"/>
          <w:szCs w:val="28"/>
          <w:rtl/>
        </w:rPr>
        <w:t xml:space="preserve"> ופרק מעבר בין שני החלקים, ו</w:t>
      </w:r>
      <w:r w:rsidRPr="006C7200">
        <w:rPr>
          <w:rFonts w:cs="David" w:hint="cs"/>
          <w:b/>
          <w:bCs/>
          <w:sz w:val="28"/>
          <w:szCs w:val="28"/>
          <w:rtl/>
        </w:rPr>
        <w:t>מציעה כקריטריון לחלוקה את העיקרון הכרונולוגי:</w:t>
      </w:r>
    </w:p>
    <w:p w14:paraId="3F369001" w14:textId="77777777" w:rsidR="00890552" w:rsidRPr="00293CF6" w:rsidRDefault="00890552" w:rsidP="00890552">
      <w:pPr>
        <w:jc w:val="both"/>
        <w:rPr>
          <w:rFonts w:cs="David"/>
          <w:sz w:val="28"/>
          <w:szCs w:val="28"/>
          <w:rtl/>
        </w:rPr>
      </w:pPr>
      <w:r w:rsidRPr="00293CF6">
        <w:rPr>
          <w:rFonts w:cs="David" w:hint="cs"/>
          <w:b/>
          <w:bCs/>
          <w:sz w:val="28"/>
          <w:szCs w:val="28"/>
          <w:u w:val="single"/>
          <w:rtl/>
        </w:rPr>
        <w:t xml:space="preserve">חלק </w:t>
      </w:r>
      <w:r>
        <w:rPr>
          <w:rFonts w:cs="David" w:hint="cs"/>
          <w:b/>
          <w:bCs/>
          <w:sz w:val="28"/>
          <w:szCs w:val="28"/>
          <w:u w:val="single"/>
          <w:rtl/>
        </w:rPr>
        <w:t>ראשון</w:t>
      </w:r>
      <w:r w:rsidRPr="00293CF6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Pr="00293CF6">
        <w:rPr>
          <w:rFonts w:cs="David" w:hint="cs"/>
          <w:sz w:val="28"/>
          <w:szCs w:val="28"/>
          <w:rtl/>
        </w:rPr>
        <w:t xml:space="preserve"> פרקים א-</w:t>
      </w:r>
      <w:proofErr w:type="spellStart"/>
      <w:r w:rsidRPr="00293CF6">
        <w:rPr>
          <w:rFonts w:cs="David" w:hint="cs"/>
          <w:sz w:val="28"/>
          <w:szCs w:val="28"/>
          <w:rtl/>
        </w:rPr>
        <w:t>יח</w:t>
      </w:r>
      <w:proofErr w:type="spellEnd"/>
      <w:r w:rsidRPr="00293CF6"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עוסקים </w:t>
      </w:r>
      <w:proofErr w:type="spellStart"/>
      <w:r>
        <w:rPr>
          <w:rFonts w:cs="David" w:hint="cs"/>
          <w:sz w:val="28"/>
          <w:szCs w:val="28"/>
          <w:rtl/>
        </w:rPr>
        <w:t>בארועי</w:t>
      </w:r>
      <w:proofErr w:type="spellEnd"/>
      <w:r w:rsidRPr="00293CF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293CF6">
        <w:rPr>
          <w:rFonts w:cs="David" w:hint="cs"/>
          <w:b/>
          <w:bCs/>
          <w:sz w:val="28"/>
          <w:szCs w:val="28"/>
          <w:u w:val="single"/>
          <w:rtl/>
        </w:rPr>
        <w:t>שנה השנייה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7979ED">
        <w:rPr>
          <w:rFonts w:cs="David" w:hint="cs"/>
          <w:sz w:val="28"/>
          <w:szCs w:val="28"/>
          <w:rtl/>
        </w:rPr>
        <w:t>ונחלק בתוכו לשניים</w:t>
      </w:r>
      <w:r>
        <w:rPr>
          <w:rFonts w:cs="David" w:hint="cs"/>
          <w:sz w:val="28"/>
          <w:szCs w:val="28"/>
          <w:rtl/>
        </w:rPr>
        <w:t>:</w:t>
      </w:r>
    </w:p>
    <w:p w14:paraId="2B3F3F32" w14:textId="77777777" w:rsidR="00890552" w:rsidRPr="00293CF6" w:rsidRDefault="00890552" w:rsidP="00890552">
      <w:pPr>
        <w:jc w:val="both"/>
        <w:rPr>
          <w:rFonts w:cs="David"/>
          <w:sz w:val="28"/>
          <w:szCs w:val="28"/>
          <w:rtl/>
        </w:rPr>
      </w:pPr>
      <w:r w:rsidRPr="00293CF6">
        <w:rPr>
          <w:rFonts w:cs="David" w:hint="cs"/>
          <w:sz w:val="28"/>
          <w:szCs w:val="28"/>
          <w:rtl/>
        </w:rPr>
        <w:t xml:space="preserve">פרקים </w:t>
      </w:r>
      <w:r>
        <w:rPr>
          <w:rFonts w:cs="David" w:hint="cs"/>
          <w:sz w:val="28"/>
          <w:szCs w:val="28"/>
          <w:rtl/>
        </w:rPr>
        <w:t xml:space="preserve">א-י מתרחשים </w:t>
      </w:r>
      <w:r w:rsidRPr="00293CF6">
        <w:rPr>
          <w:rFonts w:cs="David" w:hint="cs"/>
          <w:sz w:val="28"/>
          <w:szCs w:val="28"/>
          <w:rtl/>
        </w:rPr>
        <w:t>בשנה השנייה</w:t>
      </w:r>
      <w:r w:rsidRPr="00F75F57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293CF6">
        <w:rPr>
          <w:rFonts w:cs="David" w:hint="cs"/>
          <w:sz w:val="28"/>
          <w:szCs w:val="28"/>
          <w:rtl/>
        </w:rPr>
        <w:t>כשבנ"י</w:t>
      </w:r>
      <w:proofErr w:type="spellEnd"/>
      <w:r w:rsidRPr="00293CF6">
        <w:rPr>
          <w:rFonts w:cs="David" w:hint="cs"/>
          <w:sz w:val="28"/>
          <w:szCs w:val="28"/>
          <w:rtl/>
        </w:rPr>
        <w:t xml:space="preserve"> נמצאים עדיין בהר סיני </w:t>
      </w:r>
      <w:r>
        <w:rPr>
          <w:rFonts w:cs="David" w:hint="cs"/>
          <w:sz w:val="28"/>
          <w:szCs w:val="28"/>
          <w:rtl/>
        </w:rPr>
        <w:t>ו</w:t>
      </w:r>
      <w:r w:rsidRPr="00293CF6">
        <w:rPr>
          <w:rFonts w:cs="David" w:hint="cs"/>
          <w:sz w:val="28"/>
          <w:szCs w:val="28"/>
          <w:rtl/>
        </w:rPr>
        <w:t>עוס</w:t>
      </w:r>
      <w:r>
        <w:rPr>
          <w:rFonts w:cs="David" w:hint="cs"/>
          <w:sz w:val="28"/>
          <w:szCs w:val="28"/>
          <w:rtl/>
        </w:rPr>
        <w:t>קים בסדרי המחנה וההיערכות למסע.</w:t>
      </w:r>
    </w:p>
    <w:p w14:paraId="346829EC" w14:textId="77777777" w:rsidR="00890552" w:rsidRPr="00293CF6" w:rsidRDefault="00890552" w:rsidP="00890552">
      <w:pPr>
        <w:jc w:val="both"/>
        <w:rPr>
          <w:rFonts w:cs="David"/>
          <w:sz w:val="28"/>
          <w:szCs w:val="28"/>
          <w:rtl/>
        </w:rPr>
      </w:pPr>
      <w:r w:rsidRPr="00293CF6">
        <w:rPr>
          <w:rFonts w:cs="David" w:hint="cs"/>
          <w:sz w:val="28"/>
          <w:szCs w:val="28"/>
          <w:rtl/>
        </w:rPr>
        <w:t>פרקים יא-</w:t>
      </w:r>
      <w:proofErr w:type="spellStart"/>
      <w:r w:rsidRPr="00293CF6">
        <w:rPr>
          <w:rFonts w:cs="David" w:hint="cs"/>
          <w:sz w:val="28"/>
          <w:szCs w:val="28"/>
          <w:rtl/>
        </w:rPr>
        <w:t>יח</w:t>
      </w:r>
      <w:proofErr w:type="spellEnd"/>
      <w:r w:rsidRPr="00293CF6">
        <w:rPr>
          <w:rFonts w:cs="David" w:hint="cs"/>
          <w:sz w:val="28"/>
          <w:szCs w:val="28"/>
          <w:rtl/>
        </w:rPr>
        <w:t xml:space="preserve"> מתרחשים גם הם בשנה השנייה אך </w:t>
      </w:r>
      <w:proofErr w:type="spellStart"/>
      <w:r w:rsidRPr="00293CF6">
        <w:rPr>
          <w:rFonts w:cs="David" w:hint="cs"/>
          <w:sz w:val="28"/>
          <w:szCs w:val="28"/>
          <w:rtl/>
        </w:rPr>
        <w:t>כשבנ"י</w:t>
      </w:r>
      <w:proofErr w:type="spellEnd"/>
      <w:r w:rsidRPr="00293CF6">
        <w:rPr>
          <w:rFonts w:cs="David" w:hint="cs"/>
          <w:sz w:val="28"/>
          <w:szCs w:val="28"/>
          <w:rtl/>
        </w:rPr>
        <w:t xml:space="preserve"> נמצאים כבר בדרך </w:t>
      </w:r>
      <w:r>
        <w:rPr>
          <w:rFonts w:cs="David" w:hint="cs"/>
          <w:sz w:val="28"/>
          <w:szCs w:val="28"/>
          <w:rtl/>
        </w:rPr>
        <w:t xml:space="preserve">וכוללים תלונות של </w:t>
      </w:r>
      <w:proofErr w:type="spellStart"/>
      <w:r>
        <w:rPr>
          <w:rFonts w:cs="David" w:hint="cs"/>
          <w:sz w:val="28"/>
          <w:szCs w:val="28"/>
          <w:rtl/>
        </w:rPr>
        <w:t>בנ"י</w:t>
      </w:r>
      <w:proofErr w:type="spellEnd"/>
      <w:r w:rsidRPr="00293CF6">
        <w:rPr>
          <w:rFonts w:cs="David" w:hint="cs"/>
          <w:sz w:val="28"/>
          <w:szCs w:val="28"/>
          <w:rtl/>
        </w:rPr>
        <w:t>.</w:t>
      </w:r>
    </w:p>
    <w:p w14:paraId="1B1D0486" w14:textId="77777777" w:rsidR="00890552" w:rsidRPr="00293CF6" w:rsidRDefault="00890552" w:rsidP="00890552">
      <w:pPr>
        <w:jc w:val="both"/>
        <w:rPr>
          <w:rFonts w:cs="David"/>
          <w:sz w:val="28"/>
          <w:szCs w:val="28"/>
          <w:rtl/>
        </w:rPr>
      </w:pPr>
      <w:r w:rsidRPr="00293CF6">
        <w:rPr>
          <w:rFonts w:cs="David" w:hint="cs"/>
          <w:b/>
          <w:bCs/>
          <w:sz w:val="28"/>
          <w:szCs w:val="28"/>
          <w:u w:val="single"/>
          <w:rtl/>
        </w:rPr>
        <w:t xml:space="preserve">חלק </w:t>
      </w:r>
      <w:r>
        <w:rPr>
          <w:rFonts w:cs="David" w:hint="cs"/>
          <w:b/>
          <w:bCs/>
          <w:sz w:val="28"/>
          <w:szCs w:val="28"/>
          <w:u w:val="single"/>
          <w:rtl/>
        </w:rPr>
        <w:t>אחרון</w:t>
      </w:r>
      <w:r w:rsidRPr="00293CF6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Pr="00293CF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- </w:t>
      </w:r>
      <w:r w:rsidRPr="00293CF6">
        <w:rPr>
          <w:rFonts w:cs="David" w:hint="cs"/>
          <w:sz w:val="28"/>
          <w:szCs w:val="28"/>
          <w:rtl/>
        </w:rPr>
        <w:t>פרקים כ-לו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 w:rsidRPr="00293CF6">
        <w:rPr>
          <w:rFonts w:cs="David" w:hint="cs"/>
          <w:sz w:val="28"/>
          <w:szCs w:val="28"/>
          <w:rtl/>
        </w:rPr>
        <w:t xml:space="preserve"> עוסק </w:t>
      </w:r>
      <w:r w:rsidRPr="00293CF6">
        <w:rPr>
          <w:rFonts w:cs="David" w:hint="cs"/>
          <w:b/>
          <w:bCs/>
          <w:sz w:val="28"/>
          <w:szCs w:val="28"/>
          <w:u w:val="single"/>
          <w:rtl/>
        </w:rPr>
        <w:t>באירועי שנת הארבעים</w:t>
      </w:r>
      <w:r w:rsidRPr="00293CF6">
        <w:rPr>
          <w:rFonts w:cs="David" w:hint="cs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 xml:space="preserve">וכולל </w:t>
      </w:r>
      <w:r w:rsidRPr="00293CF6">
        <w:rPr>
          <w:rFonts w:cs="David" w:hint="cs"/>
          <w:sz w:val="28"/>
          <w:szCs w:val="28"/>
          <w:rtl/>
        </w:rPr>
        <w:t>תלונות</w:t>
      </w:r>
      <w:r>
        <w:rPr>
          <w:rFonts w:cs="David" w:hint="cs"/>
          <w:sz w:val="28"/>
          <w:szCs w:val="28"/>
          <w:rtl/>
        </w:rPr>
        <w:t xml:space="preserve"> של העם</w:t>
      </w:r>
      <w:r w:rsidRPr="00293CF6">
        <w:rPr>
          <w:rFonts w:cs="David" w:hint="cs"/>
          <w:sz w:val="28"/>
          <w:szCs w:val="28"/>
          <w:rtl/>
        </w:rPr>
        <w:t xml:space="preserve"> והיערכות לכניסה לארץ. </w:t>
      </w:r>
    </w:p>
    <w:p w14:paraId="43434E97" w14:textId="77777777" w:rsidR="00890552" w:rsidRPr="00F2579A" w:rsidRDefault="00890552" w:rsidP="00890552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ניתן להצביע על מבנה כיאסטי בין שני החלקים:</w:t>
      </w:r>
    </w:p>
    <w:p w14:paraId="082ABC65" w14:textId="77777777" w:rsidR="00890552" w:rsidRDefault="00890552" w:rsidP="00890552">
      <w:pPr>
        <w:jc w:val="both"/>
        <w:rPr>
          <w:rFonts w:cs="David"/>
          <w:b/>
          <w:bCs/>
          <w:sz w:val="28"/>
          <w:szCs w:val="28"/>
          <w:rtl/>
        </w:rPr>
      </w:pPr>
      <w:r w:rsidRPr="00F05572">
        <w:rPr>
          <w:rFonts w:cs="David" w:hint="cs"/>
          <w:sz w:val="28"/>
          <w:szCs w:val="28"/>
          <w:rtl/>
        </w:rPr>
        <w:t>בשנה השנייה ישראל</w:t>
      </w:r>
      <w:r>
        <w:rPr>
          <w:rFonts w:cs="David" w:hint="cs"/>
          <w:b/>
          <w:bCs/>
          <w:sz w:val="28"/>
          <w:szCs w:val="28"/>
          <w:rtl/>
        </w:rPr>
        <w:t xml:space="preserve"> חונים </w:t>
      </w:r>
      <w:r w:rsidRPr="00F05572">
        <w:rPr>
          <w:rFonts w:cs="David" w:hint="cs"/>
          <w:sz w:val="28"/>
          <w:szCs w:val="28"/>
          <w:rtl/>
        </w:rPr>
        <w:t>בהר סיני ובשנה הארבעים הם</w:t>
      </w:r>
      <w:r>
        <w:rPr>
          <w:rFonts w:cs="David" w:hint="cs"/>
          <w:b/>
          <w:bCs/>
          <w:sz w:val="28"/>
          <w:szCs w:val="28"/>
          <w:rtl/>
        </w:rPr>
        <w:t xml:space="preserve"> חונים </w:t>
      </w:r>
      <w:r w:rsidRPr="00F05572">
        <w:rPr>
          <w:rFonts w:cs="David" w:hint="cs"/>
          <w:sz w:val="28"/>
          <w:szCs w:val="28"/>
          <w:rtl/>
        </w:rPr>
        <w:t>בבעל פעור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6A8A1162" w14:textId="77777777" w:rsidR="00890552" w:rsidRDefault="00890552" w:rsidP="00890552">
      <w:pPr>
        <w:jc w:val="both"/>
        <w:rPr>
          <w:rFonts w:cs="David"/>
          <w:b/>
          <w:bCs/>
          <w:sz w:val="28"/>
          <w:szCs w:val="28"/>
          <w:rtl/>
        </w:rPr>
      </w:pPr>
      <w:r w:rsidRPr="00F05572">
        <w:rPr>
          <w:rFonts w:cs="David" w:hint="cs"/>
          <w:sz w:val="28"/>
          <w:szCs w:val="28"/>
          <w:rtl/>
        </w:rPr>
        <w:t>בשנה השנייה ישראל</w:t>
      </w:r>
      <w:r>
        <w:rPr>
          <w:rFonts w:cs="David" w:hint="cs"/>
          <w:b/>
          <w:bCs/>
          <w:sz w:val="28"/>
          <w:szCs w:val="28"/>
          <w:rtl/>
        </w:rPr>
        <w:t xml:space="preserve"> נוסעים </w:t>
      </w:r>
      <w:r w:rsidRPr="00F05572">
        <w:rPr>
          <w:rFonts w:cs="David" w:hint="cs"/>
          <w:sz w:val="28"/>
          <w:szCs w:val="28"/>
          <w:rtl/>
        </w:rPr>
        <w:t>ובשנה הארבעים הם שוב</w:t>
      </w:r>
      <w:r>
        <w:rPr>
          <w:rFonts w:cs="David" w:hint="cs"/>
          <w:b/>
          <w:bCs/>
          <w:sz w:val="28"/>
          <w:szCs w:val="28"/>
          <w:rtl/>
        </w:rPr>
        <w:t xml:space="preserve"> נוסעים </w:t>
      </w:r>
    </w:p>
    <w:p w14:paraId="4DC9BA43" w14:textId="77777777" w:rsidR="00890552" w:rsidRPr="00F2579A" w:rsidRDefault="00890552" w:rsidP="00890552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בין שני החלקים מופיע</w:t>
      </w:r>
      <w:r w:rsidRPr="00293CF6">
        <w:rPr>
          <w:rFonts w:cs="David" w:hint="cs"/>
          <w:sz w:val="28"/>
          <w:szCs w:val="28"/>
          <w:rtl/>
        </w:rPr>
        <w:t xml:space="preserve"> </w:t>
      </w:r>
      <w:r w:rsidRPr="00293CF6">
        <w:rPr>
          <w:rFonts w:cs="David" w:hint="cs"/>
          <w:b/>
          <w:bCs/>
          <w:sz w:val="28"/>
          <w:szCs w:val="28"/>
          <w:rtl/>
        </w:rPr>
        <w:t xml:space="preserve">פרק </w:t>
      </w:r>
      <w:proofErr w:type="spellStart"/>
      <w:r w:rsidRPr="00293CF6">
        <w:rPr>
          <w:rFonts w:cs="David" w:hint="cs"/>
          <w:b/>
          <w:bCs/>
          <w:sz w:val="28"/>
          <w:szCs w:val="28"/>
          <w:rtl/>
        </w:rPr>
        <w:t>יט</w:t>
      </w:r>
      <w:proofErr w:type="spellEnd"/>
      <w:r w:rsidRPr="00293CF6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- </w:t>
      </w:r>
      <w:r w:rsidRPr="00293CF6">
        <w:rPr>
          <w:rFonts w:cs="David" w:hint="cs"/>
          <w:sz w:val="28"/>
          <w:szCs w:val="28"/>
          <w:rtl/>
        </w:rPr>
        <w:t>העוסק בפרה אדומה ובדרך להיטהר מטומאת מת</w:t>
      </w:r>
      <w:r>
        <w:rPr>
          <w:rFonts w:cs="David" w:hint="cs"/>
          <w:sz w:val="28"/>
          <w:szCs w:val="28"/>
          <w:rtl/>
        </w:rPr>
        <w:t xml:space="preserve"> - </w:t>
      </w:r>
      <w:r>
        <w:rPr>
          <w:rFonts w:cs="David" w:hint="cs"/>
          <w:b/>
          <w:bCs/>
          <w:sz w:val="28"/>
          <w:szCs w:val="28"/>
          <w:rtl/>
        </w:rPr>
        <w:t>ומהווה</w:t>
      </w:r>
      <w:r w:rsidRPr="00293CF6">
        <w:rPr>
          <w:rFonts w:cs="David" w:hint="cs"/>
          <w:b/>
          <w:bCs/>
          <w:sz w:val="28"/>
          <w:szCs w:val="28"/>
          <w:rtl/>
        </w:rPr>
        <w:t xml:space="preserve"> מעין פרק מעבר</w:t>
      </w:r>
      <w:r w:rsidRPr="00293CF6">
        <w:rPr>
          <w:rFonts w:cs="David" w:hint="cs"/>
          <w:sz w:val="28"/>
          <w:szCs w:val="28"/>
          <w:rtl/>
        </w:rPr>
        <w:t xml:space="preserve"> </w:t>
      </w:r>
    </w:p>
    <w:p w14:paraId="4EFB7820" w14:textId="77777777" w:rsidR="00890552" w:rsidRDefault="00890552" w:rsidP="00890552">
      <w:pPr>
        <w:jc w:val="both"/>
        <w:rPr>
          <w:rFonts w:cs="David"/>
          <w:b/>
          <w:bCs/>
          <w:sz w:val="28"/>
          <w:szCs w:val="28"/>
          <w:rtl/>
        </w:rPr>
      </w:pPr>
      <w:r w:rsidRPr="006C7200">
        <w:rPr>
          <w:rFonts w:cs="David" w:hint="cs"/>
          <w:b/>
          <w:bCs/>
          <w:sz w:val="28"/>
          <w:szCs w:val="28"/>
          <w:rtl/>
        </w:rPr>
        <w:t xml:space="preserve">החלוקה הזאת פותחת </w:t>
      </w:r>
      <w:r>
        <w:rPr>
          <w:rFonts w:cs="David" w:hint="cs"/>
          <w:b/>
          <w:bCs/>
          <w:sz w:val="28"/>
          <w:szCs w:val="28"/>
          <w:rtl/>
        </w:rPr>
        <w:t xml:space="preserve">פתח </w:t>
      </w:r>
      <w:r w:rsidRPr="006C7200">
        <w:rPr>
          <w:rFonts w:cs="David" w:hint="cs"/>
          <w:b/>
          <w:bCs/>
          <w:sz w:val="28"/>
          <w:szCs w:val="28"/>
          <w:rtl/>
        </w:rPr>
        <w:t xml:space="preserve">להתבוננות </w:t>
      </w:r>
      <w:r>
        <w:rPr>
          <w:rFonts w:cs="David" w:hint="cs"/>
          <w:b/>
          <w:bCs/>
          <w:sz w:val="28"/>
          <w:szCs w:val="28"/>
          <w:rtl/>
        </w:rPr>
        <w:t>מעניינת</w:t>
      </w:r>
      <w:r w:rsidRPr="006C7200">
        <w:rPr>
          <w:rFonts w:cs="David" w:hint="cs"/>
          <w:b/>
          <w:bCs/>
          <w:sz w:val="28"/>
          <w:szCs w:val="28"/>
          <w:rtl/>
        </w:rPr>
        <w:t xml:space="preserve">: </w:t>
      </w:r>
    </w:p>
    <w:p w14:paraId="203C5106" w14:textId="77777777" w:rsidR="00890552" w:rsidRPr="006C7200" w:rsidRDefault="00890552" w:rsidP="00890552">
      <w:pPr>
        <w:jc w:val="both"/>
        <w:rPr>
          <w:rFonts w:cs="David"/>
          <w:b/>
          <w:bCs/>
          <w:sz w:val="28"/>
          <w:szCs w:val="28"/>
          <w:rtl/>
        </w:rPr>
      </w:pPr>
      <w:r w:rsidRPr="006C7200">
        <w:rPr>
          <w:rFonts w:cs="David" w:hint="cs"/>
          <w:b/>
          <w:bCs/>
          <w:sz w:val="28"/>
          <w:szCs w:val="28"/>
          <w:rtl/>
        </w:rPr>
        <w:t>השנה השנייה לצאתם מארץ מצרים רצופה באירועים מכוננים ביניהם גם חטאים קשים בעלי השלכה לדורות כמו חטא המרגלים וחטא קורח.</w:t>
      </w:r>
    </w:p>
    <w:p w14:paraId="44FD0E26" w14:textId="77777777" w:rsidR="00890552" w:rsidRPr="006C7200" w:rsidRDefault="00890552" w:rsidP="00890552">
      <w:pPr>
        <w:jc w:val="both"/>
        <w:rPr>
          <w:rFonts w:cs="David"/>
          <w:b/>
          <w:bCs/>
          <w:sz w:val="28"/>
          <w:szCs w:val="28"/>
          <w:rtl/>
        </w:rPr>
      </w:pPr>
      <w:r w:rsidRPr="006C7200">
        <w:rPr>
          <w:rFonts w:cs="David" w:hint="cs"/>
          <w:b/>
          <w:bCs/>
          <w:sz w:val="28"/>
          <w:szCs w:val="28"/>
          <w:rtl/>
        </w:rPr>
        <w:t>אף השנה הארבעים רצופת אירועים משמעותיים</w:t>
      </w:r>
      <w:r>
        <w:rPr>
          <w:rFonts w:cs="David" w:hint="cs"/>
          <w:b/>
          <w:bCs/>
          <w:sz w:val="28"/>
          <w:szCs w:val="28"/>
          <w:rtl/>
        </w:rPr>
        <w:t>:</w:t>
      </w:r>
      <w:r w:rsidRPr="006C7200">
        <w:rPr>
          <w:rFonts w:cs="David" w:hint="cs"/>
          <w:b/>
          <w:bCs/>
          <w:sz w:val="28"/>
          <w:szCs w:val="28"/>
          <w:rtl/>
        </w:rPr>
        <w:t xml:space="preserve"> משברים ונפילות</w:t>
      </w:r>
      <w:r>
        <w:rPr>
          <w:rFonts w:cs="David" w:hint="cs"/>
          <w:b/>
          <w:bCs/>
          <w:sz w:val="28"/>
          <w:szCs w:val="28"/>
          <w:rtl/>
        </w:rPr>
        <w:t xml:space="preserve"> כגון חטא מי מריבה, בעל פעור ומות מרים ואהרון,</w:t>
      </w:r>
      <w:r w:rsidRPr="006C7200">
        <w:rPr>
          <w:rFonts w:cs="David" w:hint="cs"/>
          <w:b/>
          <w:bCs/>
          <w:sz w:val="28"/>
          <w:szCs w:val="28"/>
          <w:rtl/>
        </w:rPr>
        <w:t xml:space="preserve"> אך</w:t>
      </w:r>
      <w:r>
        <w:rPr>
          <w:rFonts w:cs="David" w:hint="cs"/>
          <w:b/>
          <w:bCs/>
          <w:sz w:val="28"/>
          <w:szCs w:val="28"/>
          <w:rtl/>
        </w:rPr>
        <w:t xml:space="preserve"> יש בה </w:t>
      </w:r>
      <w:r w:rsidRPr="006C7200">
        <w:rPr>
          <w:rFonts w:cs="David" w:hint="cs"/>
          <w:b/>
          <w:bCs/>
          <w:sz w:val="28"/>
          <w:szCs w:val="28"/>
          <w:rtl/>
        </w:rPr>
        <w:t>גם היערכות ממשית לכניסה לארץ.</w:t>
      </w:r>
    </w:p>
    <w:p w14:paraId="3B149FC5" w14:textId="77777777" w:rsidR="00890552" w:rsidRPr="00293CF6" w:rsidRDefault="00890552" w:rsidP="00890552">
      <w:pPr>
        <w:jc w:val="both"/>
        <w:rPr>
          <w:rFonts w:cs="David"/>
          <w:b/>
          <w:bCs/>
          <w:sz w:val="28"/>
          <w:szCs w:val="28"/>
          <w:rtl/>
        </w:rPr>
      </w:pPr>
      <w:r w:rsidRPr="00293CF6">
        <w:rPr>
          <w:rFonts w:cs="David" w:hint="cs"/>
          <w:b/>
          <w:bCs/>
          <w:sz w:val="28"/>
          <w:szCs w:val="28"/>
          <w:rtl/>
        </w:rPr>
        <w:t xml:space="preserve">ומתברר שבתווך שבין שניהם </w:t>
      </w:r>
      <w:r w:rsidRPr="00293CF6">
        <w:rPr>
          <w:rFonts w:cs="David"/>
          <w:b/>
          <w:bCs/>
          <w:sz w:val="28"/>
          <w:szCs w:val="28"/>
          <w:rtl/>
        </w:rPr>
        <w:t>–</w:t>
      </w:r>
      <w:r w:rsidRPr="00293CF6">
        <w:rPr>
          <w:rFonts w:cs="David" w:hint="cs"/>
          <w:b/>
          <w:bCs/>
          <w:sz w:val="28"/>
          <w:szCs w:val="28"/>
          <w:rtl/>
        </w:rPr>
        <w:t xml:space="preserve"> בין השנה השנייה לבין השנה הארבעים</w:t>
      </w:r>
      <w:r>
        <w:rPr>
          <w:rFonts w:cs="David" w:hint="cs"/>
          <w:b/>
          <w:bCs/>
          <w:sz w:val="28"/>
          <w:szCs w:val="28"/>
          <w:rtl/>
        </w:rPr>
        <w:t xml:space="preserve"> -</w:t>
      </w:r>
      <w:r w:rsidRPr="00293CF6">
        <w:rPr>
          <w:rFonts w:cs="David" w:hint="cs"/>
          <w:b/>
          <w:bCs/>
          <w:sz w:val="28"/>
          <w:szCs w:val="28"/>
          <w:rtl/>
        </w:rPr>
        <w:t xml:space="preserve"> משתרעות </w:t>
      </w:r>
      <w:r>
        <w:rPr>
          <w:rFonts w:cs="David" w:hint="cs"/>
          <w:b/>
          <w:bCs/>
          <w:sz w:val="28"/>
          <w:szCs w:val="28"/>
          <w:rtl/>
        </w:rPr>
        <w:t>38</w:t>
      </w:r>
      <w:r w:rsidRPr="00293CF6">
        <w:rPr>
          <w:rFonts w:cs="David" w:hint="cs"/>
          <w:b/>
          <w:bCs/>
          <w:sz w:val="28"/>
          <w:szCs w:val="28"/>
          <w:rtl/>
        </w:rPr>
        <w:t xml:space="preserve"> שנות שתיקה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293CF6">
        <w:rPr>
          <w:rFonts w:cs="David" w:hint="cs"/>
          <w:b/>
          <w:bCs/>
          <w:sz w:val="28"/>
          <w:szCs w:val="28"/>
          <w:rtl/>
        </w:rPr>
        <w:t>שהתורה לא</w:t>
      </w:r>
      <w:r>
        <w:rPr>
          <w:rFonts w:cs="David" w:hint="cs"/>
          <w:b/>
          <w:bCs/>
          <w:sz w:val="28"/>
          <w:szCs w:val="28"/>
          <w:rtl/>
        </w:rPr>
        <w:t xml:space="preserve"> אומרת עליהם דבר וחצי דבר. אלו השנים בהם, כמו שאומרים חז"ל, מתו כל שנה ושנה דור יוצאי מצרים</w:t>
      </w:r>
      <w:r>
        <w:rPr>
          <w:rStyle w:val="ad"/>
          <w:rFonts w:cs="David"/>
          <w:b/>
          <w:bCs/>
          <w:sz w:val="28"/>
          <w:szCs w:val="28"/>
          <w:rtl/>
        </w:rPr>
        <w:footnoteReference w:id="1"/>
      </w:r>
      <w:r>
        <w:rPr>
          <w:rFonts w:cs="David" w:hint="cs"/>
          <w:b/>
          <w:bCs/>
          <w:sz w:val="28"/>
          <w:szCs w:val="28"/>
          <w:rtl/>
        </w:rPr>
        <w:t xml:space="preserve">. </w:t>
      </w:r>
    </w:p>
    <w:p w14:paraId="21422BD9" w14:textId="77777777" w:rsidR="00890552" w:rsidRDefault="00890552" w:rsidP="00890552">
      <w:pPr>
        <w:spacing w:after="0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8C6E76">
        <w:rPr>
          <w:rFonts w:cs="David" w:hint="cs"/>
          <w:b/>
          <w:bCs/>
          <w:sz w:val="28"/>
          <w:szCs w:val="28"/>
          <w:rtl/>
        </w:rPr>
        <w:lastRenderedPageBreak/>
        <w:t>38 השנים האלה מסתיימות</w:t>
      </w:r>
      <w:r>
        <w:rPr>
          <w:rFonts w:cs="David" w:hint="cs"/>
          <w:b/>
          <w:bCs/>
          <w:sz w:val="28"/>
          <w:szCs w:val="28"/>
          <w:rtl/>
        </w:rPr>
        <w:t xml:space="preserve"> בתחילת שנת הארבעים בפרשת פרה אדומה (פרק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יט</w:t>
      </w:r>
      <w:proofErr w:type="spellEnd"/>
      <w:r>
        <w:rPr>
          <w:rFonts w:cs="David" w:hint="cs"/>
          <w:b/>
          <w:bCs/>
          <w:sz w:val="28"/>
          <w:szCs w:val="28"/>
          <w:rtl/>
        </w:rPr>
        <w:t>), פרשה המאפשרת היטהרות מטומאת המתים שליוותה אותם לאורך 38 שנות הנדודים במדבר וישראל יכולים מעתה לפתוח פרק חדש.</w:t>
      </w:r>
    </w:p>
    <w:p w14:paraId="0298F129" w14:textId="77777777" w:rsidR="00890552" w:rsidRDefault="00890552" w:rsidP="00890552">
      <w:pPr>
        <w:spacing w:after="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406876C1" w14:textId="77777777" w:rsidR="00890552" w:rsidRPr="0036563F" w:rsidRDefault="00890552" w:rsidP="00890552">
      <w:pPr>
        <w:spacing w:after="0"/>
        <w:jc w:val="both"/>
        <w:rPr>
          <w:rFonts w:cs="David"/>
          <w:sz w:val="28"/>
          <w:szCs w:val="28"/>
          <w:rtl/>
        </w:rPr>
      </w:pPr>
      <w:r w:rsidRPr="0036563F">
        <w:rPr>
          <w:rFonts w:cs="David" w:hint="cs"/>
          <w:sz w:val="28"/>
          <w:szCs w:val="28"/>
          <w:rtl/>
        </w:rPr>
        <w:t xml:space="preserve">הגמרא בשבת </w:t>
      </w:r>
      <w:proofErr w:type="spellStart"/>
      <w:r w:rsidRPr="0036563F">
        <w:rPr>
          <w:rFonts w:cs="David" w:hint="cs"/>
          <w:sz w:val="28"/>
          <w:szCs w:val="28"/>
          <w:rtl/>
        </w:rPr>
        <w:t>קטז</w:t>
      </w:r>
      <w:proofErr w:type="spellEnd"/>
      <w:r w:rsidRPr="0036563F">
        <w:rPr>
          <w:rFonts w:cs="David" w:hint="cs"/>
          <w:sz w:val="28"/>
          <w:szCs w:val="28"/>
          <w:rtl/>
        </w:rPr>
        <w:t xml:space="preserve">, א-ב מציגה התבוננות אחרת על מבנה הספר, התבוננות הנעוצה בשני הפסוקים הידועים מפרשת בהעלותך: </w:t>
      </w:r>
    </w:p>
    <w:p w14:paraId="02A0A130" w14:textId="77777777" w:rsidR="00890552" w:rsidRPr="0036563F" w:rsidRDefault="00890552" w:rsidP="00890552">
      <w:pPr>
        <w:spacing w:after="0"/>
        <w:jc w:val="both"/>
        <w:rPr>
          <w:rFonts w:cs="David"/>
          <w:sz w:val="28"/>
          <w:szCs w:val="28"/>
          <w:rtl/>
        </w:rPr>
      </w:pPr>
      <w:r w:rsidRPr="0036563F">
        <w:rPr>
          <w:rFonts w:cs="David" w:hint="cs"/>
          <w:sz w:val="28"/>
          <w:szCs w:val="28"/>
          <w:rtl/>
        </w:rPr>
        <w:t>וַיְהִי</w:t>
      </w:r>
      <w:r w:rsidRPr="0036563F">
        <w:rPr>
          <w:rFonts w:cs="David"/>
          <w:sz w:val="28"/>
          <w:szCs w:val="28"/>
          <w:rtl/>
        </w:rPr>
        <w:t xml:space="preserve"> </w:t>
      </w:r>
      <w:proofErr w:type="spellStart"/>
      <w:r w:rsidRPr="0036563F">
        <w:rPr>
          <w:rFonts w:cs="David" w:hint="cs"/>
          <w:sz w:val="28"/>
          <w:szCs w:val="28"/>
          <w:rtl/>
        </w:rPr>
        <w:t>בִּנְסֹע</w:t>
      </w:r>
      <w:proofErr w:type="spellEnd"/>
      <w:r w:rsidRPr="0036563F">
        <w:rPr>
          <w:rFonts w:cs="David" w:hint="cs"/>
          <w:sz w:val="28"/>
          <w:szCs w:val="28"/>
          <w:rtl/>
        </w:rPr>
        <w:t>ַ</w:t>
      </w:r>
      <w:r w:rsidRPr="0036563F">
        <w:rPr>
          <w:rFonts w:cs="David"/>
          <w:sz w:val="28"/>
          <w:szCs w:val="28"/>
          <w:rtl/>
        </w:rPr>
        <w:t xml:space="preserve"> </w:t>
      </w:r>
      <w:proofErr w:type="spellStart"/>
      <w:r w:rsidRPr="0036563F">
        <w:rPr>
          <w:rFonts w:cs="David" w:hint="cs"/>
          <w:sz w:val="28"/>
          <w:szCs w:val="28"/>
          <w:rtl/>
        </w:rPr>
        <w:t>הָאָרֹן</w:t>
      </w:r>
      <w:proofErr w:type="spellEnd"/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וַיֹּאמֶר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משֶׁה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קוּמָה</w:t>
      </w:r>
      <w:r w:rsidRPr="0036563F">
        <w:rPr>
          <w:rFonts w:cs="David"/>
          <w:sz w:val="28"/>
          <w:szCs w:val="28"/>
          <w:rtl/>
        </w:rPr>
        <w:t xml:space="preserve"> </w:t>
      </w:r>
      <w:proofErr w:type="spellStart"/>
      <w:r w:rsidRPr="0036563F">
        <w:rPr>
          <w:rFonts w:cs="David" w:hint="cs"/>
          <w:sz w:val="28"/>
          <w:szCs w:val="28"/>
          <w:rtl/>
        </w:rPr>
        <w:t>יְדֹוָד</w:t>
      </w:r>
      <w:proofErr w:type="spellEnd"/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וְיָפֻצוּ</w:t>
      </w:r>
      <w:r w:rsidRPr="0036563F">
        <w:rPr>
          <w:rFonts w:cs="David"/>
          <w:sz w:val="28"/>
          <w:szCs w:val="28"/>
          <w:rtl/>
        </w:rPr>
        <w:t xml:space="preserve"> </w:t>
      </w:r>
      <w:proofErr w:type="spellStart"/>
      <w:r w:rsidRPr="0036563F">
        <w:rPr>
          <w:rFonts w:cs="David" w:hint="cs"/>
          <w:sz w:val="28"/>
          <w:szCs w:val="28"/>
          <w:rtl/>
        </w:rPr>
        <w:t>אֹיְבֶיך</w:t>
      </w:r>
      <w:proofErr w:type="spellEnd"/>
      <w:r w:rsidRPr="0036563F">
        <w:rPr>
          <w:rFonts w:cs="David" w:hint="cs"/>
          <w:sz w:val="28"/>
          <w:szCs w:val="28"/>
          <w:rtl/>
        </w:rPr>
        <w:t>ָ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וְיָנֻסוּ</w:t>
      </w:r>
      <w:r w:rsidRPr="0036563F">
        <w:rPr>
          <w:rFonts w:cs="David"/>
          <w:sz w:val="28"/>
          <w:szCs w:val="28"/>
          <w:rtl/>
        </w:rPr>
        <w:t xml:space="preserve"> </w:t>
      </w:r>
      <w:proofErr w:type="spellStart"/>
      <w:r w:rsidRPr="0036563F">
        <w:rPr>
          <w:rFonts w:cs="David" w:hint="cs"/>
          <w:sz w:val="28"/>
          <w:szCs w:val="28"/>
          <w:rtl/>
        </w:rPr>
        <w:t>מְשַׂנְאֶיך</w:t>
      </w:r>
      <w:proofErr w:type="spellEnd"/>
      <w:r w:rsidRPr="0036563F">
        <w:rPr>
          <w:rFonts w:cs="David" w:hint="cs"/>
          <w:sz w:val="28"/>
          <w:szCs w:val="28"/>
          <w:rtl/>
        </w:rPr>
        <w:t>ָ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מִפָּנֶיךָ</w:t>
      </w:r>
      <w:r w:rsidRPr="0036563F">
        <w:rPr>
          <w:rFonts w:cs="David"/>
          <w:sz w:val="28"/>
          <w:szCs w:val="28"/>
          <w:rtl/>
        </w:rPr>
        <w:t>:</w:t>
      </w:r>
    </w:p>
    <w:p w14:paraId="67545519" w14:textId="77777777" w:rsidR="00890552" w:rsidRDefault="00890552" w:rsidP="00890552">
      <w:pPr>
        <w:spacing w:after="0"/>
        <w:jc w:val="both"/>
        <w:rPr>
          <w:rFonts w:cs="David"/>
          <w:sz w:val="28"/>
          <w:szCs w:val="28"/>
          <w:rtl/>
        </w:rPr>
      </w:pPr>
      <w:r w:rsidRPr="0036563F">
        <w:rPr>
          <w:rFonts w:cs="David" w:hint="cs"/>
          <w:sz w:val="28"/>
          <w:szCs w:val="28"/>
          <w:rtl/>
        </w:rPr>
        <w:t>וּבְנֻחֹה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יֹאמַר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שׁוּבָה</w:t>
      </w:r>
      <w:r w:rsidRPr="0036563F">
        <w:rPr>
          <w:rFonts w:cs="David"/>
          <w:sz w:val="28"/>
          <w:szCs w:val="28"/>
          <w:rtl/>
        </w:rPr>
        <w:t xml:space="preserve"> </w:t>
      </w:r>
      <w:proofErr w:type="spellStart"/>
      <w:r w:rsidRPr="0036563F">
        <w:rPr>
          <w:rFonts w:cs="David" w:hint="cs"/>
          <w:sz w:val="28"/>
          <w:szCs w:val="28"/>
          <w:rtl/>
        </w:rPr>
        <w:t>יְדֹוָד</w:t>
      </w:r>
      <w:proofErr w:type="spellEnd"/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רִבֲבוֹת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אַלְפֵי</w:t>
      </w:r>
      <w:r w:rsidRPr="0036563F">
        <w:rPr>
          <w:rFonts w:cs="David"/>
          <w:sz w:val="28"/>
          <w:szCs w:val="28"/>
          <w:rtl/>
        </w:rPr>
        <w:t xml:space="preserve"> </w:t>
      </w:r>
      <w:r w:rsidRPr="0036563F">
        <w:rPr>
          <w:rFonts w:cs="David" w:hint="cs"/>
          <w:sz w:val="28"/>
          <w:szCs w:val="28"/>
          <w:rtl/>
        </w:rPr>
        <w:t>יִשְׂרָאֵל</w:t>
      </w:r>
      <w:r>
        <w:rPr>
          <w:rFonts w:cs="David" w:hint="cs"/>
          <w:sz w:val="28"/>
          <w:szCs w:val="28"/>
          <w:rtl/>
        </w:rPr>
        <w:t xml:space="preserve"> (במדבר י, לה-לו).</w:t>
      </w:r>
    </w:p>
    <w:p w14:paraId="295195CC" w14:textId="77777777" w:rsidR="00890552" w:rsidRPr="0036563F" w:rsidRDefault="00890552" w:rsidP="00890552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אומרת הגמרא:</w:t>
      </w:r>
    </w:p>
    <w:p w14:paraId="39EC8B4D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</w:p>
    <w:p w14:paraId="42A8DACB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 w:rsidRPr="007930BD">
        <w:rPr>
          <w:rFonts w:cs="David" w:hint="cs"/>
          <w:sz w:val="28"/>
          <w:szCs w:val="28"/>
          <w:rtl/>
        </w:rPr>
        <w:t xml:space="preserve">תנו רבנן: ויהי בנסוע הארון ויאמר משה - פרשה זו עשה לה הקדוש ברוך הוא סימניות מלמעלה ולמטה </w:t>
      </w:r>
      <w:r w:rsidRPr="007930BD">
        <w:rPr>
          <w:rFonts w:cs="David" w:hint="cs"/>
          <w:b/>
          <w:bCs/>
          <w:sz w:val="28"/>
          <w:szCs w:val="28"/>
          <w:u w:val="single"/>
          <w:rtl/>
        </w:rPr>
        <w:t>לומר אין זה מקומה</w:t>
      </w:r>
      <w:r w:rsidRPr="007930BD">
        <w:rPr>
          <w:rFonts w:cs="David"/>
          <w:sz w:val="28"/>
          <w:szCs w:val="28"/>
          <w:rtl/>
        </w:rPr>
        <w:t xml:space="preserve"> </w:t>
      </w:r>
      <w:r w:rsidRPr="007930BD">
        <w:rPr>
          <w:rFonts w:cs="David"/>
          <w:sz w:val="28"/>
          <w:szCs w:val="28"/>
        </w:rPr>
        <w:br/>
      </w:r>
      <w:r w:rsidRPr="007930BD">
        <w:rPr>
          <w:rFonts w:cs="David"/>
          <w:sz w:val="28"/>
          <w:szCs w:val="28"/>
          <w:rtl/>
        </w:rPr>
        <w:t> </w:t>
      </w:r>
      <w:r w:rsidRPr="007930BD">
        <w:rPr>
          <w:rFonts w:cs="David"/>
          <w:sz w:val="28"/>
          <w:szCs w:val="28"/>
        </w:rPr>
        <w:br/>
      </w:r>
      <w:r w:rsidRPr="007930BD">
        <w:rPr>
          <w:rFonts w:cs="David" w:hint="cs"/>
          <w:b/>
          <w:bCs/>
          <w:sz w:val="28"/>
          <w:szCs w:val="28"/>
          <w:rtl/>
        </w:rPr>
        <w:t xml:space="preserve">רבי אומר </w:t>
      </w:r>
      <w:r w:rsidRPr="007930BD">
        <w:rPr>
          <w:rFonts w:cs="David" w:hint="cs"/>
          <w:sz w:val="28"/>
          <w:szCs w:val="28"/>
          <w:rtl/>
        </w:rPr>
        <w:t xml:space="preserve">לא מן השם הוא זה (רש"י: לא זה השם – הסיבה -  של טעמי הסימניות) אלא מפני </w:t>
      </w:r>
      <w:r w:rsidRPr="007930BD">
        <w:rPr>
          <w:rFonts w:cs="David" w:hint="cs"/>
          <w:b/>
          <w:bCs/>
          <w:sz w:val="28"/>
          <w:szCs w:val="28"/>
          <w:rtl/>
        </w:rPr>
        <w:t>שספר חשוב הוא בפני עצמו</w:t>
      </w:r>
      <w:r>
        <w:rPr>
          <w:rFonts w:cs="David" w:hint="cs"/>
          <w:b/>
          <w:bCs/>
          <w:sz w:val="28"/>
          <w:szCs w:val="28"/>
          <w:rtl/>
        </w:rPr>
        <w:t>…</w:t>
      </w:r>
      <w:r w:rsidRPr="007930BD">
        <w:rPr>
          <w:rFonts w:cs="David"/>
          <w:sz w:val="28"/>
          <w:szCs w:val="28"/>
        </w:rPr>
        <w:br/>
      </w:r>
      <w:r w:rsidRPr="007930BD">
        <w:rPr>
          <w:rFonts w:cs="David"/>
          <w:sz w:val="28"/>
          <w:szCs w:val="28"/>
          <w:rtl/>
        </w:rPr>
        <w:t> </w:t>
      </w:r>
      <w:r w:rsidRPr="007930BD">
        <w:rPr>
          <w:rFonts w:cs="David"/>
          <w:sz w:val="28"/>
          <w:szCs w:val="28"/>
        </w:rPr>
        <w:br/>
      </w:r>
      <w:r w:rsidRPr="007930BD">
        <w:rPr>
          <w:rFonts w:cs="David" w:hint="cs"/>
          <w:b/>
          <w:bCs/>
          <w:sz w:val="28"/>
          <w:szCs w:val="28"/>
          <w:rtl/>
        </w:rPr>
        <w:t>ולמה כתבה כאן</w:t>
      </w:r>
      <w:r w:rsidRPr="007930BD">
        <w:rPr>
          <w:rFonts w:cs="David"/>
          <w:sz w:val="28"/>
          <w:szCs w:val="28"/>
          <w:rtl/>
        </w:rPr>
        <w:t xml:space="preserve">? כדי להפסיק בין פורענות ראשונה לפורענות שנייה. פורענות שנייה מאי היא? ויהי העם כמתאוננים. פורענות ראשונה - </w:t>
      </w:r>
      <w:proofErr w:type="spellStart"/>
      <w:r w:rsidRPr="007930BD">
        <w:rPr>
          <w:rFonts w:cs="David" w:hint="cs"/>
          <w:sz w:val="28"/>
          <w:szCs w:val="28"/>
          <w:rtl/>
        </w:rPr>
        <w:t>ויסעו</w:t>
      </w:r>
      <w:proofErr w:type="spellEnd"/>
      <w:r w:rsidRPr="007930BD">
        <w:rPr>
          <w:rFonts w:cs="David"/>
          <w:sz w:val="28"/>
          <w:szCs w:val="28"/>
          <w:rtl/>
        </w:rPr>
        <w:t xml:space="preserve"> מהר ה' ואמר רבי </w:t>
      </w:r>
      <w:proofErr w:type="spellStart"/>
      <w:r w:rsidRPr="007930BD">
        <w:rPr>
          <w:rFonts w:cs="David" w:hint="cs"/>
          <w:sz w:val="28"/>
          <w:szCs w:val="28"/>
          <w:rtl/>
        </w:rPr>
        <w:t>חמא</w:t>
      </w:r>
      <w:proofErr w:type="spellEnd"/>
      <w:r w:rsidRPr="007930BD">
        <w:rPr>
          <w:rFonts w:cs="David"/>
          <w:sz w:val="28"/>
          <w:szCs w:val="28"/>
          <w:rtl/>
        </w:rPr>
        <w:t xml:space="preserve"> ברבי </w:t>
      </w:r>
      <w:proofErr w:type="spellStart"/>
      <w:r w:rsidRPr="007930BD">
        <w:rPr>
          <w:rFonts w:cs="David" w:hint="cs"/>
          <w:sz w:val="28"/>
          <w:szCs w:val="28"/>
          <w:rtl/>
        </w:rPr>
        <w:t>חנינא</w:t>
      </w:r>
      <w:proofErr w:type="spellEnd"/>
      <w:r w:rsidRPr="007930BD">
        <w:rPr>
          <w:rFonts w:cs="David"/>
          <w:sz w:val="28"/>
          <w:szCs w:val="28"/>
          <w:rtl/>
        </w:rPr>
        <w:t xml:space="preserve"> שסרו </w:t>
      </w:r>
      <w:proofErr w:type="spellStart"/>
      <w:r w:rsidRPr="007930BD">
        <w:rPr>
          <w:rFonts w:cs="David"/>
          <w:sz w:val="28"/>
          <w:szCs w:val="28"/>
          <w:rtl/>
        </w:rPr>
        <w:t>מאחרי</w:t>
      </w:r>
      <w:proofErr w:type="spellEnd"/>
      <w:r w:rsidRPr="007930BD">
        <w:rPr>
          <w:rFonts w:cs="David"/>
          <w:sz w:val="28"/>
          <w:szCs w:val="28"/>
          <w:rtl/>
        </w:rPr>
        <w:t xml:space="preserve"> ה' </w:t>
      </w:r>
      <w:r w:rsidRPr="007930BD">
        <w:rPr>
          <w:rFonts w:cs="David"/>
          <w:sz w:val="28"/>
          <w:szCs w:val="28"/>
        </w:rPr>
        <w:br/>
      </w:r>
      <w:r w:rsidRPr="007930BD">
        <w:rPr>
          <w:rFonts w:cs="David" w:hint="cs"/>
          <w:b/>
          <w:bCs/>
          <w:sz w:val="28"/>
          <w:szCs w:val="28"/>
          <w:rtl/>
        </w:rPr>
        <w:t>והיכן מקומה?</w:t>
      </w:r>
      <w:r w:rsidRPr="007930BD">
        <w:rPr>
          <w:rFonts w:cs="David"/>
          <w:sz w:val="28"/>
          <w:szCs w:val="28"/>
          <w:rtl/>
        </w:rPr>
        <w:t xml:space="preserve"> אמר רב אשי בדגלים</w:t>
      </w:r>
    </w:p>
    <w:p w14:paraId="62DE8512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</w:p>
    <w:p w14:paraId="0DA3EFE4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כידוע מסומנים שני הפסוקים האחרונים בפרק י' בנונים הפוכות</w:t>
      </w:r>
      <w:r>
        <w:rPr>
          <w:rStyle w:val="ad"/>
          <w:rFonts w:cs="David"/>
          <w:sz w:val="28"/>
          <w:szCs w:val="28"/>
          <w:rtl/>
        </w:rPr>
        <w:footnoteReference w:id="2"/>
      </w:r>
      <w:r>
        <w:rPr>
          <w:rFonts w:cs="David" w:hint="cs"/>
          <w:sz w:val="28"/>
          <w:szCs w:val="28"/>
          <w:rtl/>
        </w:rPr>
        <w:t>, "סימניות" בלשון הגמרא, שתוהה על תפקידם ומציגה שתי שיטות:</w:t>
      </w:r>
    </w:p>
    <w:p w14:paraId="6536A3F7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שיטת רבי לפיה "ספר חשוב הוא בפני עצמו" ולכן יש לסמנו באופן מיוחד.</w:t>
      </w:r>
    </w:p>
    <w:p w14:paraId="7C3D2606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שיטת </w:t>
      </w:r>
      <w:proofErr w:type="spellStart"/>
      <w:r>
        <w:rPr>
          <w:rFonts w:cs="David" w:hint="cs"/>
          <w:sz w:val="28"/>
          <w:szCs w:val="28"/>
          <w:rtl/>
        </w:rPr>
        <w:t>רשב"ג</w:t>
      </w:r>
      <w:proofErr w:type="spellEnd"/>
      <w:r>
        <w:rPr>
          <w:rFonts w:cs="David" w:hint="cs"/>
          <w:sz w:val="28"/>
          <w:szCs w:val="28"/>
          <w:rtl/>
        </w:rPr>
        <w:t xml:space="preserve"> לפיה מטרת הסימניות היא להצביע על כך שפרשה זו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שני פסוקים אלו - אינה במקומה. אם כך יש לתהות מדוע נכתבו כאן? תשובת הגמרא היא "</w:t>
      </w:r>
      <w:r w:rsidRPr="007930BD">
        <w:rPr>
          <w:rFonts w:cs="David"/>
          <w:sz w:val="28"/>
          <w:szCs w:val="28"/>
          <w:rtl/>
        </w:rPr>
        <w:t>כדי להפסיק בין פורענות ראשונה לפורענות שנייה</w:t>
      </w:r>
      <w:r>
        <w:rPr>
          <w:rFonts w:cs="David" w:hint="cs"/>
          <w:sz w:val="28"/>
          <w:szCs w:val="28"/>
          <w:rtl/>
        </w:rPr>
        <w:t>". אף רש"י נוקט שיטה זו.</w:t>
      </w:r>
    </w:p>
    <w:p w14:paraId="50E8B894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טענת הגמרא היא שאין הכתוב רוצה לכתוב שלוש פורענויות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קרי שלושה חטאים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 רצופים, כדי לא ליצור חזקה של חטא, ולכן מפסיק בין פורענות לפורענות באמצעות שני פסוקים אלה. </w:t>
      </w:r>
    </w:p>
    <w:p w14:paraId="0AFDDE1C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 w:rsidRPr="00F75F57">
        <w:rPr>
          <w:rFonts w:cs="David" w:hint="cs"/>
          <w:b/>
          <w:bCs/>
          <w:sz w:val="28"/>
          <w:szCs w:val="28"/>
          <w:rtl/>
        </w:rPr>
        <w:t xml:space="preserve">אלא שהתבוננות בפסוקים לא מגלה כל פורענות </w:t>
      </w:r>
      <w:r w:rsidRPr="00F75F57">
        <w:rPr>
          <w:rFonts w:cs="David" w:hint="cs"/>
          <w:b/>
          <w:bCs/>
          <w:sz w:val="28"/>
          <w:szCs w:val="28"/>
          <w:u w:val="single"/>
          <w:rtl/>
        </w:rPr>
        <w:t>לפני</w:t>
      </w:r>
      <w:r w:rsidRPr="00F75F57">
        <w:rPr>
          <w:rFonts w:cs="David" w:hint="cs"/>
          <w:b/>
          <w:bCs/>
          <w:sz w:val="28"/>
          <w:szCs w:val="28"/>
          <w:rtl/>
        </w:rPr>
        <w:t xml:space="preserve"> הפסוקים הנידונים</w:t>
      </w:r>
      <w:r>
        <w:rPr>
          <w:rFonts w:cs="David" w:hint="cs"/>
          <w:sz w:val="28"/>
          <w:szCs w:val="28"/>
          <w:rtl/>
        </w:rPr>
        <w:t>, וממילא אין הפסוקים מייצרים כל הפרדה בין פורענות ראשונה לשתיים שמופיעות אחריהם: המתאוננים וקברות התאווה!</w:t>
      </w:r>
    </w:p>
    <w:p w14:paraId="483E9191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תשובת הגמרא לשאלה מהי הפורענות הראשונה היא: "</w:t>
      </w:r>
      <w:proofErr w:type="spellStart"/>
      <w:r>
        <w:rPr>
          <w:rFonts w:cs="David" w:hint="cs"/>
          <w:sz w:val="28"/>
          <w:szCs w:val="28"/>
          <w:rtl/>
        </w:rPr>
        <w:t>ויסעו</w:t>
      </w:r>
      <w:proofErr w:type="spellEnd"/>
      <w:r>
        <w:rPr>
          <w:rFonts w:cs="David" w:hint="cs"/>
          <w:sz w:val="28"/>
          <w:szCs w:val="28"/>
          <w:rtl/>
        </w:rPr>
        <w:t xml:space="preserve"> מהר ד'" (פס' לג), "שסרו </w:t>
      </w:r>
      <w:proofErr w:type="spellStart"/>
      <w:r>
        <w:rPr>
          <w:rFonts w:cs="David" w:hint="cs"/>
          <w:sz w:val="28"/>
          <w:szCs w:val="28"/>
          <w:rtl/>
        </w:rPr>
        <w:t>מאחרי</w:t>
      </w:r>
      <w:proofErr w:type="spellEnd"/>
      <w:r>
        <w:rPr>
          <w:rFonts w:cs="David" w:hint="cs"/>
          <w:sz w:val="28"/>
          <w:szCs w:val="28"/>
          <w:rtl/>
        </w:rPr>
        <w:t xml:space="preserve"> ד'".</w:t>
      </w:r>
    </w:p>
    <w:p w14:paraId="236346C3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ניתן לומר שכאן מצביעה הגמרא על שורש הפורענויות והחטאים כולם: חולשה </w:t>
      </w:r>
      <w:proofErr w:type="spellStart"/>
      <w:r>
        <w:rPr>
          <w:rFonts w:cs="David" w:hint="cs"/>
          <w:sz w:val="28"/>
          <w:szCs w:val="28"/>
          <w:rtl/>
        </w:rPr>
        <w:t>אמונית</w:t>
      </w:r>
      <w:proofErr w:type="spellEnd"/>
      <w:r>
        <w:rPr>
          <w:rFonts w:cs="David" w:hint="cs"/>
          <w:sz w:val="28"/>
          <w:szCs w:val="28"/>
          <w:rtl/>
        </w:rPr>
        <w:t xml:space="preserve"> שתלווה את ישראל לאורך כל שנות המדבר ותעלה שוב ושוב בטענותיהם.</w:t>
      </w:r>
    </w:p>
    <w:p w14:paraId="329E6D93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תנועה שנעה בין קוטב ההתקרבות וקבלת עול מלכות שמים, לבין קוטב ההתרחקות והמרידה בד'. </w:t>
      </w:r>
    </w:p>
    <w:p w14:paraId="02DE65DD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זו כאמור הפורענות הראשונה, אם כל הפורענויות. בינה לבין שתי הפורענויות הנוספות (המתאוננים וקברות התאווה) יפסיקו שני הפסוקים המסומנים </w:t>
      </w:r>
      <w:proofErr w:type="spellStart"/>
      <w:r>
        <w:rPr>
          <w:rFonts w:cs="David" w:hint="cs"/>
          <w:sz w:val="28"/>
          <w:szCs w:val="28"/>
          <w:rtl/>
        </w:rPr>
        <w:t>בנוני"ם</w:t>
      </w:r>
      <w:proofErr w:type="spellEnd"/>
      <w:r>
        <w:rPr>
          <w:rFonts w:cs="David" w:hint="cs"/>
          <w:sz w:val="28"/>
          <w:szCs w:val="28"/>
          <w:rtl/>
        </w:rPr>
        <w:t xml:space="preserve"> הפוכות, פסוקים המתארים את הליווי </w:t>
      </w:r>
      <w:r>
        <w:rPr>
          <w:rFonts w:cs="David" w:hint="cs"/>
          <w:sz w:val="28"/>
          <w:szCs w:val="28"/>
          <w:rtl/>
        </w:rPr>
        <w:lastRenderedPageBreak/>
        <w:t xml:space="preserve">וההגנה שמספקת השכינה לישראל. דומה שלעיתים הם נזקקים להגנה וחציצה מפני האויבים שמבחוץ, ולעיתים נדרשת הגנה וחציצה דווקא מפני האויבים הפנימיים. </w:t>
      </w:r>
    </w:p>
    <w:p w14:paraId="28F69160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</w:p>
    <w:p w14:paraId="1633CB4C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נראה, שהתבנית להפרדה בין הפורענויות שמציעים חז"ל בפרשת בהעלותך (סוף פרק י ופרק יא) תקיפה לאורך כל החטיבה השנייה של החלק הראשון של החומש</w:t>
      </w:r>
      <w:r w:rsidRPr="0068123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 פרקים י-</w:t>
      </w:r>
      <w:proofErr w:type="spellStart"/>
      <w:r>
        <w:rPr>
          <w:rFonts w:cs="David" w:hint="cs"/>
          <w:sz w:val="28"/>
          <w:szCs w:val="28"/>
          <w:rtl/>
        </w:rPr>
        <w:t>יח</w:t>
      </w:r>
      <w:proofErr w:type="spellEnd"/>
      <w:r>
        <w:rPr>
          <w:rFonts w:cs="David" w:hint="cs"/>
          <w:sz w:val="28"/>
          <w:szCs w:val="28"/>
          <w:rtl/>
        </w:rPr>
        <w:t xml:space="preserve">, חטיבה העוסקת באירועי השנה השנייה, ומהווה מעין "קוד פנימי" המכתיב את סדר כתיבת הנושאים השונים. </w:t>
      </w:r>
      <w:r w:rsidRPr="00F75F57">
        <w:rPr>
          <w:rFonts w:cs="David" w:hint="cs"/>
          <w:b/>
          <w:bCs/>
          <w:sz w:val="28"/>
          <w:szCs w:val="28"/>
          <w:rtl/>
        </w:rPr>
        <w:t>התורה לא מאפשרת לשלוש פורענויות להיכתב ברצף ומפרידה ביניהן באמצעות אירוע נוסף או באמצעות פרקי מצוות</w:t>
      </w:r>
      <w:r>
        <w:rPr>
          <w:rFonts w:cs="David" w:hint="cs"/>
          <w:sz w:val="28"/>
          <w:szCs w:val="28"/>
          <w:rtl/>
        </w:rPr>
        <w:t>.</w:t>
      </w:r>
    </w:p>
    <w:p w14:paraId="5C0AEEA9" w14:textId="77777777" w:rsidR="00890552" w:rsidRDefault="00890552" w:rsidP="0089055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התמונה המתקבלת היא כדלהלן:</w:t>
      </w:r>
    </w:p>
    <w:p w14:paraId="2A72B13F" w14:textId="77777777" w:rsidR="00890552" w:rsidRPr="00FD4484" w:rsidRDefault="00890552" w:rsidP="00890552">
      <w:pPr>
        <w:rPr>
          <w:rFonts w:cs="David"/>
          <w:b/>
          <w:bCs/>
          <w:sz w:val="28"/>
          <w:szCs w:val="28"/>
          <w:rtl/>
        </w:rPr>
      </w:pPr>
      <w:bookmarkStart w:id="2" w:name="_Hlk64787088"/>
      <w:r w:rsidRPr="00FD4484">
        <w:rPr>
          <w:rFonts w:cs="David" w:hint="cs"/>
          <w:b/>
          <w:bCs/>
          <w:sz w:val="28"/>
          <w:szCs w:val="28"/>
          <w:rtl/>
        </w:rPr>
        <w:t xml:space="preserve">פורענות ראשונה - שורש כל הפורענויות: </w:t>
      </w:r>
      <w:proofErr w:type="spellStart"/>
      <w:r w:rsidRPr="00FD4484">
        <w:rPr>
          <w:rFonts w:cs="David" w:hint="cs"/>
          <w:b/>
          <w:bCs/>
          <w:sz w:val="28"/>
          <w:szCs w:val="28"/>
          <w:rtl/>
        </w:rPr>
        <w:t>ויסעו</w:t>
      </w:r>
      <w:proofErr w:type="spellEnd"/>
      <w:r w:rsidRPr="00FD4484">
        <w:rPr>
          <w:rFonts w:cs="David" w:hint="cs"/>
          <w:b/>
          <w:bCs/>
          <w:sz w:val="28"/>
          <w:szCs w:val="28"/>
          <w:rtl/>
        </w:rPr>
        <w:t xml:space="preserve"> מהר ד' (פרק י, לג)</w:t>
      </w:r>
    </w:p>
    <w:p w14:paraId="0D068E4A" w14:textId="77777777" w:rsidR="00890552" w:rsidRPr="00FD4484" w:rsidRDefault="00890552" w:rsidP="00890552">
      <w:pPr>
        <w:rPr>
          <w:rFonts w:cs="David"/>
          <w:b/>
          <w:bCs/>
          <w:sz w:val="28"/>
          <w:szCs w:val="28"/>
          <w:rtl/>
        </w:rPr>
      </w:pPr>
      <w:r w:rsidRPr="00F90E56">
        <w:rPr>
          <w:rFonts w:cs="David" w:hint="cs"/>
          <w:b/>
          <w:bCs/>
          <w:sz w:val="28"/>
          <w:szCs w:val="28"/>
          <w:u w:val="single"/>
          <w:rtl/>
        </w:rPr>
        <w:t>הפסקה בין הפורענויות</w:t>
      </w:r>
      <w:r w:rsidRPr="00F90E56">
        <w:rPr>
          <w:rFonts w:cs="David" w:hint="cs"/>
          <w:b/>
          <w:bCs/>
          <w:sz w:val="28"/>
          <w:szCs w:val="28"/>
          <w:rtl/>
        </w:rPr>
        <w:t xml:space="preserve"> </w:t>
      </w:r>
      <w:r w:rsidRPr="00FD4484">
        <w:rPr>
          <w:rFonts w:cs="David" w:hint="cs"/>
          <w:b/>
          <w:bCs/>
          <w:sz w:val="28"/>
          <w:szCs w:val="28"/>
          <w:rtl/>
        </w:rPr>
        <w:t>- ויהי בנסוע הארון (פרק י, לה-לו)</w:t>
      </w:r>
    </w:p>
    <w:p w14:paraId="4F8D5C89" w14:textId="77777777" w:rsidR="00890552" w:rsidRPr="00FD4484" w:rsidRDefault="00890552" w:rsidP="00890552">
      <w:pPr>
        <w:rPr>
          <w:rFonts w:cs="David"/>
          <w:b/>
          <w:bCs/>
          <w:sz w:val="28"/>
          <w:szCs w:val="28"/>
          <w:rtl/>
        </w:rPr>
      </w:pPr>
      <w:r w:rsidRPr="00FD4484">
        <w:rPr>
          <w:rFonts w:cs="David" w:hint="cs"/>
          <w:b/>
          <w:bCs/>
          <w:sz w:val="28"/>
          <w:szCs w:val="28"/>
          <w:rtl/>
        </w:rPr>
        <w:t xml:space="preserve">פורענות שנייה </w:t>
      </w:r>
      <w:r w:rsidRPr="00FD4484">
        <w:rPr>
          <w:rFonts w:cs="David"/>
          <w:b/>
          <w:bCs/>
          <w:sz w:val="28"/>
          <w:szCs w:val="28"/>
          <w:rtl/>
        </w:rPr>
        <w:t>–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מתאוננים (פרק יא, א-ג)</w:t>
      </w:r>
    </w:p>
    <w:p w14:paraId="7D23E1B0" w14:textId="77777777" w:rsidR="00890552" w:rsidRPr="00FD4484" w:rsidRDefault="00890552" w:rsidP="00890552">
      <w:pPr>
        <w:rPr>
          <w:rFonts w:cs="David"/>
          <w:b/>
          <w:bCs/>
          <w:sz w:val="28"/>
          <w:szCs w:val="28"/>
          <w:rtl/>
        </w:rPr>
      </w:pPr>
      <w:r w:rsidRPr="00FD4484">
        <w:rPr>
          <w:rFonts w:cs="David" w:hint="cs"/>
          <w:b/>
          <w:bCs/>
          <w:sz w:val="28"/>
          <w:szCs w:val="28"/>
          <w:rtl/>
        </w:rPr>
        <w:t xml:space="preserve">פורענות שלישית </w:t>
      </w:r>
      <w:r w:rsidRPr="00FD4484">
        <w:rPr>
          <w:rFonts w:cs="David"/>
          <w:b/>
          <w:bCs/>
          <w:sz w:val="28"/>
          <w:szCs w:val="28"/>
          <w:rtl/>
        </w:rPr>
        <w:t>–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קברות </w:t>
      </w:r>
      <w:proofErr w:type="spellStart"/>
      <w:r w:rsidRPr="00FD4484">
        <w:rPr>
          <w:rFonts w:cs="David" w:hint="cs"/>
          <w:b/>
          <w:bCs/>
          <w:sz w:val="28"/>
          <w:szCs w:val="28"/>
          <w:rtl/>
        </w:rPr>
        <w:t>התאוה</w:t>
      </w:r>
      <w:proofErr w:type="spellEnd"/>
      <w:r w:rsidRPr="00FD4484">
        <w:rPr>
          <w:rFonts w:cs="David" w:hint="cs"/>
          <w:b/>
          <w:bCs/>
          <w:sz w:val="28"/>
          <w:szCs w:val="28"/>
          <w:rtl/>
        </w:rPr>
        <w:t xml:space="preserve"> (פרק יא, ד-לה)</w:t>
      </w:r>
    </w:p>
    <w:p w14:paraId="649608AF" w14:textId="77777777" w:rsidR="00890552" w:rsidRPr="00FD4484" w:rsidRDefault="00890552" w:rsidP="00890552">
      <w:pPr>
        <w:rPr>
          <w:rFonts w:cs="David"/>
          <w:b/>
          <w:bCs/>
          <w:sz w:val="28"/>
          <w:szCs w:val="28"/>
          <w:rtl/>
        </w:rPr>
      </w:pPr>
      <w:r w:rsidRPr="00F90E56">
        <w:rPr>
          <w:rFonts w:cs="David" w:hint="cs"/>
          <w:b/>
          <w:bCs/>
          <w:sz w:val="28"/>
          <w:szCs w:val="28"/>
          <w:u w:val="single"/>
          <w:rtl/>
        </w:rPr>
        <w:t>הפסקה בין הפורענויות</w:t>
      </w:r>
      <w:r w:rsidRPr="00F90E56">
        <w:rPr>
          <w:rFonts w:cs="David" w:hint="cs"/>
          <w:b/>
          <w:bCs/>
          <w:sz w:val="28"/>
          <w:szCs w:val="28"/>
          <w:rtl/>
        </w:rPr>
        <w:t xml:space="preserve"> </w:t>
      </w:r>
      <w:r w:rsidRPr="00FD4484">
        <w:rPr>
          <w:rFonts w:cs="David"/>
          <w:b/>
          <w:bCs/>
          <w:sz w:val="28"/>
          <w:szCs w:val="28"/>
          <w:rtl/>
        </w:rPr>
        <w:t>–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חטא מרים (פרק </w:t>
      </w:r>
      <w:proofErr w:type="spellStart"/>
      <w:r w:rsidRPr="00FD4484">
        <w:rPr>
          <w:rFonts w:cs="David" w:hint="cs"/>
          <w:b/>
          <w:bCs/>
          <w:sz w:val="28"/>
          <w:szCs w:val="28"/>
          <w:rtl/>
        </w:rPr>
        <w:t>יב</w:t>
      </w:r>
      <w:proofErr w:type="spellEnd"/>
      <w:r w:rsidRPr="00FD4484">
        <w:rPr>
          <w:rFonts w:cs="David" w:hint="cs"/>
          <w:b/>
          <w:bCs/>
          <w:sz w:val="28"/>
          <w:szCs w:val="28"/>
          <w:rtl/>
        </w:rPr>
        <w:t>)</w:t>
      </w:r>
      <w:r>
        <w:rPr>
          <w:rStyle w:val="ad"/>
          <w:rFonts w:cs="David"/>
          <w:b/>
          <w:bCs/>
          <w:sz w:val="28"/>
          <w:szCs w:val="28"/>
          <w:rtl/>
        </w:rPr>
        <w:footnoteReference w:id="3"/>
      </w:r>
    </w:p>
    <w:p w14:paraId="6AD80334" w14:textId="77777777" w:rsidR="00890552" w:rsidRPr="00FD4484" w:rsidRDefault="00890552" w:rsidP="00890552">
      <w:pPr>
        <w:rPr>
          <w:rFonts w:cs="David"/>
          <w:b/>
          <w:bCs/>
          <w:sz w:val="28"/>
          <w:szCs w:val="28"/>
          <w:rtl/>
        </w:rPr>
      </w:pPr>
      <w:r w:rsidRPr="00FD4484">
        <w:rPr>
          <w:rFonts w:cs="David" w:hint="cs"/>
          <w:b/>
          <w:bCs/>
          <w:sz w:val="28"/>
          <w:szCs w:val="28"/>
          <w:rtl/>
        </w:rPr>
        <w:t xml:space="preserve">פורענות ראשונה </w:t>
      </w:r>
      <w:r w:rsidRPr="00FD4484">
        <w:rPr>
          <w:rFonts w:cs="David"/>
          <w:b/>
          <w:bCs/>
          <w:sz w:val="28"/>
          <w:szCs w:val="28"/>
          <w:rtl/>
        </w:rPr>
        <w:t>–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חטא המרגלים (פרק </w:t>
      </w:r>
      <w:proofErr w:type="spellStart"/>
      <w:r w:rsidRPr="00FD4484">
        <w:rPr>
          <w:rFonts w:cs="David" w:hint="cs"/>
          <w:b/>
          <w:bCs/>
          <w:sz w:val="28"/>
          <w:szCs w:val="28"/>
          <w:rtl/>
        </w:rPr>
        <w:t>יג</w:t>
      </w:r>
      <w:proofErr w:type="spellEnd"/>
      <w:r w:rsidRPr="00FD4484">
        <w:rPr>
          <w:rFonts w:cs="David" w:hint="cs"/>
          <w:b/>
          <w:bCs/>
          <w:sz w:val="28"/>
          <w:szCs w:val="28"/>
          <w:rtl/>
        </w:rPr>
        <w:t>-יד, לט)</w:t>
      </w:r>
    </w:p>
    <w:p w14:paraId="7BFFD5BA" w14:textId="77777777" w:rsidR="00890552" w:rsidRPr="00FD4484" w:rsidRDefault="00890552" w:rsidP="00890552">
      <w:pPr>
        <w:rPr>
          <w:rFonts w:cs="David"/>
          <w:b/>
          <w:bCs/>
          <w:sz w:val="28"/>
          <w:szCs w:val="28"/>
          <w:rtl/>
        </w:rPr>
      </w:pPr>
      <w:r w:rsidRPr="00FD4484">
        <w:rPr>
          <w:rFonts w:cs="David" w:hint="cs"/>
          <w:b/>
          <w:bCs/>
          <w:sz w:val="28"/>
          <w:szCs w:val="28"/>
          <w:rtl/>
        </w:rPr>
        <w:t xml:space="preserve">פורענות שנייה </w:t>
      </w:r>
      <w:r w:rsidRPr="00FD4484">
        <w:rPr>
          <w:rFonts w:cs="David"/>
          <w:b/>
          <w:bCs/>
          <w:sz w:val="28"/>
          <w:szCs w:val="28"/>
          <w:rtl/>
        </w:rPr>
        <w:t>–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המעפילים (פרק יד, מ-מה)</w:t>
      </w:r>
    </w:p>
    <w:p w14:paraId="20B739E2" w14:textId="77777777" w:rsidR="00890552" w:rsidRDefault="00890552" w:rsidP="00890552">
      <w:pPr>
        <w:rPr>
          <w:rFonts w:cs="David"/>
          <w:b/>
          <w:bCs/>
          <w:sz w:val="28"/>
          <w:szCs w:val="28"/>
          <w:rtl/>
        </w:rPr>
      </w:pPr>
      <w:bookmarkStart w:id="3" w:name="_Hlk64209721"/>
      <w:r w:rsidRPr="00F90E56">
        <w:rPr>
          <w:rFonts w:cs="David" w:hint="cs"/>
          <w:b/>
          <w:bCs/>
          <w:sz w:val="28"/>
          <w:szCs w:val="28"/>
          <w:u w:val="single"/>
          <w:rtl/>
        </w:rPr>
        <w:t>הפסקה בין הפורענויות</w:t>
      </w:r>
      <w:r w:rsidRPr="00F90E56">
        <w:rPr>
          <w:rFonts w:cs="David" w:hint="cs"/>
          <w:b/>
          <w:bCs/>
          <w:sz w:val="28"/>
          <w:szCs w:val="28"/>
          <w:rtl/>
        </w:rPr>
        <w:t xml:space="preserve"> </w:t>
      </w:r>
      <w:r w:rsidRPr="00FD4484">
        <w:rPr>
          <w:rFonts w:cs="David"/>
          <w:b/>
          <w:bCs/>
          <w:sz w:val="28"/>
          <w:szCs w:val="28"/>
          <w:rtl/>
        </w:rPr>
        <w:t>–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יחידת מצוות</w:t>
      </w:r>
      <w:r>
        <w:rPr>
          <w:rFonts w:cs="David" w:hint="cs"/>
          <w:b/>
          <w:bCs/>
          <w:sz w:val="28"/>
          <w:szCs w:val="28"/>
          <w:rtl/>
        </w:rPr>
        <w:t xml:space="preserve"> שיש בהן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מימד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של תיקון לחטא המרגלים </w:t>
      </w:r>
      <w:r w:rsidRPr="00FD4484">
        <w:rPr>
          <w:rFonts w:cs="David" w:hint="cs"/>
          <w:b/>
          <w:bCs/>
          <w:sz w:val="28"/>
          <w:szCs w:val="28"/>
          <w:rtl/>
        </w:rPr>
        <w:t>(פרק טו</w:t>
      </w:r>
      <w:bookmarkEnd w:id="3"/>
      <w:r w:rsidRPr="00FD4484">
        <w:rPr>
          <w:rFonts w:cs="David" w:hint="cs"/>
          <w:b/>
          <w:bCs/>
          <w:sz w:val="28"/>
          <w:szCs w:val="28"/>
          <w:rtl/>
        </w:rPr>
        <w:t>)</w:t>
      </w:r>
    </w:p>
    <w:p w14:paraId="30344993" w14:textId="77777777" w:rsidR="00890552" w:rsidRDefault="00890552" w:rsidP="00890552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פורענות ראשונה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קורח ועדתו (פרק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טז</w:t>
      </w:r>
      <w:proofErr w:type="spellEnd"/>
      <w:r>
        <w:rPr>
          <w:rFonts w:cs="David" w:hint="cs"/>
          <w:b/>
          <w:bCs/>
          <w:sz w:val="28"/>
          <w:szCs w:val="28"/>
          <w:rtl/>
        </w:rPr>
        <w:t>)</w:t>
      </w:r>
    </w:p>
    <w:p w14:paraId="60F76843" w14:textId="77777777" w:rsidR="00890552" w:rsidRDefault="00890552" w:rsidP="00890552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פורענות שנייה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"אתם המיתם את עם ד'"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המגיפה (פרק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יז</w:t>
      </w:r>
      <w:proofErr w:type="spellEnd"/>
      <w:r>
        <w:rPr>
          <w:rFonts w:cs="David" w:hint="cs"/>
          <w:b/>
          <w:bCs/>
          <w:sz w:val="28"/>
          <w:szCs w:val="28"/>
          <w:rtl/>
        </w:rPr>
        <w:t>)</w:t>
      </w:r>
    </w:p>
    <w:p w14:paraId="0E67C6B5" w14:textId="77777777" w:rsidR="00890552" w:rsidRDefault="00890552" w:rsidP="00890552">
      <w:pPr>
        <w:rPr>
          <w:rFonts w:cs="David"/>
          <w:b/>
          <w:bCs/>
          <w:color w:val="00B0F0"/>
          <w:sz w:val="28"/>
          <w:szCs w:val="28"/>
          <w:rtl/>
        </w:rPr>
      </w:pPr>
      <w:r w:rsidRPr="00F90E56">
        <w:rPr>
          <w:rFonts w:cs="David" w:hint="cs"/>
          <w:b/>
          <w:bCs/>
          <w:sz w:val="28"/>
          <w:szCs w:val="28"/>
          <w:u w:val="single"/>
          <w:rtl/>
        </w:rPr>
        <w:t>הפסקה בין הפורענויות</w:t>
      </w:r>
      <w:r w:rsidRPr="00FD4484">
        <w:rPr>
          <w:rFonts w:cs="David" w:hint="cs"/>
          <w:b/>
          <w:bCs/>
          <w:color w:val="00B0F0"/>
          <w:sz w:val="28"/>
          <w:szCs w:val="28"/>
          <w:rtl/>
        </w:rPr>
        <w:t xml:space="preserve"> </w:t>
      </w:r>
      <w:r w:rsidRPr="00FD4484">
        <w:rPr>
          <w:rFonts w:cs="David"/>
          <w:b/>
          <w:bCs/>
          <w:sz w:val="28"/>
          <w:szCs w:val="28"/>
          <w:rtl/>
        </w:rPr>
        <w:t>–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יחידת מצוות </w:t>
      </w:r>
      <w:proofErr w:type="spellStart"/>
      <w:r w:rsidRPr="00FD4484">
        <w:rPr>
          <w:rFonts w:cs="David" w:hint="cs"/>
          <w:b/>
          <w:bCs/>
          <w:sz w:val="28"/>
          <w:szCs w:val="28"/>
          <w:rtl/>
        </w:rPr>
        <w:t>לכהנים</w:t>
      </w:r>
      <w:proofErr w:type="spellEnd"/>
      <w:r>
        <w:rPr>
          <w:rFonts w:cs="David" w:hint="cs"/>
          <w:b/>
          <w:bCs/>
          <w:sz w:val="28"/>
          <w:szCs w:val="28"/>
          <w:rtl/>
        </w:rPr>
        <w:t>, מצוות המהוות תיקון לחטא קורח</w:t>
      </w:r>
      <w:r w:rsidRPr="00FD4484">
        <w:rPr>
          <w:rFonts w:cs="David" w:hint="cs"/>
          <w:b/>
          <w:bCs/>
          <w:sz w:val="28"/>
          <w:szCs w:val="28"/>
          <w:rtl/>
        </w:rPr>
        <w:t xml:space="preserve"> (פרק </w:t>
      </w:r>
      <w:proofErr w:type="spellStart"/>
      <w:r w:rsidRPr="00FD4484">
        <w:rPr>
          <w:rFonts w:cs="David" w:hint="cs"/>
          <w:b/>
          <w:bCs/>
          <w:sz w:val="28"/>
          <w:szCs w:val="28"/>
          <w:rtl/>
        </w:rPr>
        <w:t>יח</w:t>
      </w:r>
      <w:proofErr w:type="spellEnd"/>
      <w:r w:rsidRPr="00FD4484">
        <w:rPr>
          <w:rFonts w:cs="David" w:hint="cs"/>
          <w:b/>
          <w:bCs/>
          <w:sz w:val="28"/>
          <w:szCs w:val="28"/>
          <w:rtl/>
        </w:rPr>
        <w:t>)</w:t>
      </w:r>
    </w:p>
    <w:p w14:paraId="3E3EC49A" w14:textId="77777777" w:rsidR="00890552" w:rsidRDefault="00890552" w:rsidP="00890552">
      <w:pPr>
        <w:rPr>
          <w:rFonts w:cs="David"/>
          <w:b/>
          <w:bCs/>
          <w:color w:val="00B0F0"/>
          <w:sz w:val="28"/>
          <w:szCs w:val="28"/>
          <w:rtl/>
        </w:rPr>
      </w:pPr>
    </w:p>
    <w:p w14:paraId="0909204A" w14:textId="77777777" w:rsidR="00890552" w:rsidRDefault="00890552" w:rsidP="00890552">
      <w:pPr>
        <w:rPr>
          <w:rFonts w:cs="David"/>
          <w:b/>
          <w:bCs/>
          <w:sz w:val="28"/>
          <w:szCs w:val="28"/>
          <w:rtl/>
        </w:rPr>
      </w:pPr>
      <w:r w:rsidRPr="00F90E56">
        <w:rPr>
          <w:rFonts w:cs="David" w:hint="cs"/>
          <w:b/>
          <w:bCs/>
          <w:sz w:val="28"/>
          <w:szCs w:val="28"/>
          <w:u w:val="single"/>
          <w:rtl/>
        </w:rPr>
        <w:t>פרק הטהרה -</w:t>
      </w:r>
      <w:r w:rsidRPr="00F90E56">
        <w:rPr>
          <w:rFonts w:cs="David" w:hint="cs"/>
          <w:b/>
          <w:bCs/>
          <w:sz w:val="28"/>
          <w:szCs w:val="28"/>
          <w:rtl/>
        </w:rPr>
        <w:t xml:space="preserve"> </w:t>
      </w:r>
      <w:r w:rsidRPr="00FD4484">
        <w:rPr>
          <w:rFonts w:cs="David" w:hint="cs"/>
          <w:b/>
          <w:bCs/>
          <w:sz w:val="28"/>
          <w:szCs w:val="28"/>
          <w:rtl/>
        </w:rPr>
        <w:t>פרה אדומה</w:t>
      </w:r>
      <w:r>
        <w:rPr>
          <w:rFonts w:cs="David" w:hint="cs"/>
          <w:b/>
          <w:bCs/>
          <w:color w:val="00B0F0"/>
          <w:sz w:val="28"/>
          <w:szCs w:val="28"/>
          <w:rtl/>
        </w:rPr>
        <w:t xml:space="preserve"> </w:t>
      </w:r>
      <w:r w:rsidRPr="00643F70">
        <w:rPr>
          <w:rFonts w:cs="David" w:hint="cs"/>
          <w:b/>
          <w:bCs/>
          <w:sz w:val="28"/>
          <w:szCs w:val="28"/>
          <w:rtl/>
        </w:rPr>
        <w:t xml:space="preserve">(פרק </w:t>
      </w:r>
      <w:proofErr w:type="spellStart"/>
      <w:r w:rsidRPr="00643F70">
        <w:rPr>
          <w:rFonts w:cs="David" w:hint="cs"/>
          <w:b/>
          <w:bCs/>
          <w:sz w:val="28"/>
          <w:szCs w:val="28"/>
          <w:rtl/>
        </w:rPr>
        <w:t>יט</w:t>
      </w:r>
      <w:proofErr w:type="spellEnd"/>
      <w:r w:rsidRPr="00643F70">
        <w:rPr>
          <w:rFonts w:cs="David" w:hint="cs"/>
          <w:b/>
          <w:bCs/>
          <w:sz w:val="28"/>
          <w:szCs w:val="28"/>
          <w:rtl/>
        </w:rPr>
        <w:t xml:space="preserve">)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מהווה פרק מעבר המפסיק בין אירועי השנה השנייה לאירועי שנת הארבעים ומאפשר לפתוח פרק חדש בחיי העם כפי שהסברנו לעיל.</w:t>
      </w:r>
    </w:p>
    <w:p w14:paraId="3E287047" w14:textId="77777777" w:rsidR="00890552" w:rsidRPr="0074130E" w:rsidRDefault="00890552" w:rsidP="00890552">
      <w:pPr>
        <w:rPr>
          <w:rFonts w:cs="David"/>
          <w:sz w:val="28"/>
          <w:szCs w:val="28"/>
          <w:rtl/>
        </w:rPr>
      </w:pPr>
      <w:r w:rsidRPr="0074130E">
        <w:rPr>
          <w:rFonts w:cs="David" w:hint="cs"/>
          <w:sz w:val="28"/>
          <w:szCs w:val="28"/>
          <w:rtl/>
        </w:rPr>
        <w:t>לסיכום ניתן לומר שבפרשת בהעלותך מובלע העיקרון המסדר את הפרקים הראשונים של ספר במדבר, הפרקים העוסקים באירועי השנה השנייה. עיקרון זה קובע שלא תכתבנה בתורה שלוש פורענויות סמו</w:t>
      </w:r>
      <w:r>
        <w:rPr>
          <w:rFonts w:cs="David" w:hint="cs"/>
          <w:sz w:val="28"/>
          <w:szCs w:val="28"/>
          <w:rtl/>
        </w:rPr>
        <w:t xml:space="preserve">כות כדי שלא תיווצר חזקה של חטא המביא </w:t>
      </w:r>
      <w:r w:rsidRPr="0074130E">
        <w:rPr>
          <w:rFonts w:cs="David" w:hint="cs"/>
          <w:sz w:val="28"/>
          <w:szCs w:val="28"/>
          <w:rtl/>
        </w:rPr>
        <w:t>פורענות</w:t>
      </w:r>
      <w:r>
        <w:rPr>
          <w:rFonts w:cs="David" w:hint="cs"/>
          <w:sz w:val="28"/>
          <w:szCs w:val="28"/>
          <w:rtl/>
        </w:rPr>
        <w:t xml:space="preserve"> על העם</w:t>
      </w:r>
      <w:r w:rsidRPr="0074130E">
        <w:rPr>
          <w:rFonts w:cs="David" w:hint="cs"/>
          <w:sz w:val="28"/>
          <w:szCs w:val="28"/>
          <w:rtl/>
        </w:rPr>
        <w:t>.</w:t>
      </w:r>
    </w:p>
    <w:p w14:paraId="306832E1" w14:textId="77777777" w:rsidR="00890552" w:rsidRPr="00F75F57" w:rsidRDefault="00890552" w:rsidP="00890552">
      <w:pPr>
        <w:rPr>
          <w:rFonts w:cs="David"/>
          <w:sz w:val="28"/>
          <w:szCs w:val="28"/>
        </w:rPr>
      </w:pPr>
      <w:r w:rsidRPr="0074130E">
        <w:rPr>
          <w:rFonts w:cs="David" w:hint="cs"/>
          <w:sz w:val="28"/>
          <w:szCs w:val="28"/>
          <w:rtl/>
        </w:rPr>
        <w:t>ניתן לומר אף יותר מזאת: התייחסות לתוכן הפסוקים הנדונים מצביעה לא רק על עצם ההפרדה הנוצרת בין האירועים, אלא גם על השגחת ד' הצמודה המלווה את ישראל</w:t>
      </w:r>
      <w:r>
        <w:rPr>
          <w:rFonts w:cs="David" w:hint="cs"/>
          <w:sz w:val="28"/>
          <w:szCs w:val="28"/>
          <w:rtl/>
        </w:rPr>
        <w:t xml:space="preserve"> כאומרת</w:t>
      </w:r>
      <w:r w:rsidRPr="0074130E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אף ישראל ינסו לוותר על הארץ או על הנהגת ד'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הוא לא יוותר עליהם. </w:t>
      </w:r>
      <w:r w:rsidRPr="0074130E">
        <w:rPr>
          <w:rFonts w:cs="David" w:hint="cs"/>
          <w:sz w:val="28"/>
          <w:szCs w:val="28"/>
          <w:rtl/>
        </w:rPr>
        <w:t xml:space="preserve">הארון </w:t>
      </w:r>
      <w:r w:rsidRPr="0074130E">
        <w:rPr>
          <w:rFonts w:cs="David"/>
          <w:sz w:val="28"/>
          <w:szCs w:val="28"/>
          <w:rtl/>
        </w:rPr>
        <w:t>–</w:t>
      </w:r>
      <w:r w:rsidRPr="0074130E">
        <w:rPr>
          <w:rFonts w:cs="David" w:hint="cs"/>
          <w:sz w:val="28"/>
          <w:szCs w:val="28"/>
          <w:rtl/>
        </w:rPr>
        <w:t xml:space="preserve"> קרי </w:t>
      </w:r>
      <w:r>
        <w:rPr>
          <w:rFonts w:cs="David" w:hint="cs"/>
          <w:sz w:val="28"/>
          <w:szCs w:val="28"/>
          <w:rtl/>
        </w:rPr>
        <w:t>השכינה</w:t>
      </w:r>
      <w:r w:rsidRPr="0074130E">
        <w:rPr>
          <w:rFonts w:cs="David" w:hint="cs"/>
          <w:sz w:val="28"/>
          <w:szCs w:val="28"/>
          <w:rtl/>
        </w:rPr>
        <w:t xml:space="preserve"> </w:t>
      </w:r>
      <w:r w:rsidRPr="0074130E">
        <w:rPr>
          <w:rFonts w:cs="David"/>
          <w:sz w:val="28"/>
          <w:szCs w:val="28"/>
          <w:rtl/>
        </w:rPr>
        <w:t>–</w:t>
      </w:r>
      <w:r w:rsidRPr="0074130E">
        <w:rPr>
          <w:rFonts w:cs="David" w:hint="cs"/>
          <w:sz w:val="28"/>
          <w:szCs w:val="28"/>
          <w:rtl/>
        </w:rPr>
        <w:t xml:space="preserve"> מלווה את ישראל בנסיעתם </w:t>
      </w:r>
      <w:r w:rsidRPr="0074130E">
        <w:rPr>
          <w:rFonts w:cs="David" w:hint="cs"/>
          <w:sz w:val="28"/>
          <w:szCs w:val="28"/>
          <w:rtl/>
        </w:rPr>
        <w:lastRenderedPageBreak/>
        <w:t xml:space="preserve">ובמנוחתם ומגינה עליהם מפני כל צר ואויב </w:t>
      </w:r>
      <w:r w:rsidRPr="0074130E">
        <w:rPr>
          <w:rFonts w:cs="David"/>
          <w:sz w:val="28"/>
          <w:szCs w:val="28"/>
          <w:rtl/>
        </w:rPr>
        <w:t>–</w:t>
      </w:r>
      <w:r w:rsidRPr="0074130E">
        <w:rPr>
          <w:rFonts w:cs="David" w:hint="cs"/>
          <w:sz w:val="28"/>
          <w:szCs w:val="28"/>
          <w:rtl/>
        </w:rPr>
        <w:t xml:space="preserve"> פנימי וחיצוני - הקם עליהם בדרך, כדברי דעת זקנים: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"ובנחה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יאמר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וגו</w:t>
      </w:r>
      <w:r w:rsidRPr="00F75F57">
        <w:rPr>
          <w:rFonts w:cs="David"/>
          <w:b/>
          <w:bCs/>
          <w:sz w:val="28"/>
          <w:szCs w:val="28"/>
          <w:rtl/>
        </w:rPr>
        <w:t xml:space="preserve">' - </w:t>
      </w:r>
      <w:r w:rsidRPr="00F75F57">
        <w:rPr>
          <w:rFonts w:cs="David" w:hint="cs"/>
          <w:b/>
          <w:bCs/>
          <w:sz w:val="28"/>
          <w:szCs w:val="28"/>
          <w:rtl/>
        </w:rPr>
        <w:t>כשהיה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הענן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שוכן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על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המשכן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היה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אומר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יהי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רצון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שישובו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כל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האלפים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והרבבות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של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ישראל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במקומם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במספרם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ולא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יחסר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מהן</w:t>
      </w:r>
      <w:r w:rsidRPr="00F75F57">
        <w:rPr>
          <w:rFonts w:cs="David"/>
          <w:b/>
          <w:bCs/>
          <w:sz w:val="28"/>
          <w:szCs w:val="28"/>
          <w:rtl/>
        </w:rPr>
        <w:t xml:space="preserve"> </w:t>
      </w:r>
      <w:r w:rsidRPr="00F75F57">
        <w:rPr>
          <w:rFonts w:cs="David" w:hint="cs"/>
          <w:b/>
          <w:bCs/>
          <w:sz w:val="28"/>
          <w:szCs w:val="28"/>
          <w:rtl/>
        </w:rPr>
        <w:t>איש".</w:t>
      </w:r>
      <w:r>
        <w:rPr>
          <w:rFonts w:cs="David" w:hint="cs"/>
          <w:sz w:val="28"/>
          <w:szCs w:val="28"/>
          <w:rtl/>
        </w:rPr>
        <w:t xml:space="preserve"> </w:t>
      </w:r>
      <w:r w:rsidRPr="009A1967">
        <w:rPr>
          <w:rFonts w:cs="David" w:hint="cs"/>
          <w:sz w:val="28"/>
          <w:szCs w:val="28"/>
          <w:rtl/>
        </w:rPr>
        <w:t xml:space="preserve">דומה </w:t>
      </w:r>
      <w:r>
        <w:rPr>
          <w:rFonts w:cs="David" w:hint="cs"/>
          <w:sz w:val="28"/>
          <w:szCs w:val="28"/>
          <w:rtl/>
        </w:rPr>
        <w:t>שבימים אלו, אחרי אסון מירון, מקבלות מילים אלו משנה תוקף</w:t>
      </w:r>
      <w:bookmarkEnd w:id="2"/>
      <w:r>
        <w:rPr>
          <w:rFonts w:cs="David" w:hint="cs"/>
          <w:sz w:val="28"/>
          <w:szCs w:val="28"/>
          <w:rtl/>
        </w:rPr>
        <w:t>.</w:t>
      </w:r>
    </w:p>
    <w:p w14:paraId="1BBCB5DE" w14:textId="2C4AECAB" w:rsidR="00FA2F35" w:rsidRPr="00890552" w:rsidRDefault="00FA2F35" w:rsidP="00FA2F35">
      <w:pPr>
        <w:spacing w:after="0" w:line="280" w:lineRule="exact"/>
        <w:rPr>
          <w:sz w:val="20"/>
          <w:szCs w:val="20"/>
          <w:rtl/>
        </w:rPr>
      </w:pPr>
    </w:p>
    <w:sectPr w:rsidR="00FA2F35" w:rsidRPr="00890552" w:rsidSect="00B4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6B52" w14:textId="77777777" w:rsidR="00A248B7" w:rsidRDefault="00A248B7" w:rsidP="00B43C88">
      <w:pPr>
        <w:spacing w:after="0" w:line="240" w:lineRule="auto"/>
      </w:pPr>
      <w:r>
        <w:separator/>
      </w:r>
    </w:p>
  </w:endnote>
  <w:endnote w:type="continuationSeparator" w:id="0">
    <w:p w14:paraId="4E8F4573" w14:textId="77777777" w:rsidR="00A248B7" w:rsidRDefault="00A248B7" w:rsidP="00B4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3ABD" w14:textId="77777777" w:rsidR="00535FAE" w:rsidRDefault="00535F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8897" w14:textId="4E7CB1D0" w:rsidR="00B43C88" w:rsidRDefault="00535FAE" w:rsidP="00B43C88">
    <w:pPr>
      <w:pStyle w:val="a7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A371527" wp14:editId="079A0546">
          <wp:simplePos x="0" y="0"/>
          <wp:positionH relativeFrom="margin">
            <wp:posOffset>-381000</wp:posOffset>
          </wp:positionH>
          <wp:positionV relativeFrom="margin">
            <wp:posOffset>8245475</wp:posOffset>
          </wp:positionV>
          <wp:extent cx="7369810" cy="892810"/>
          <wp:effectExtent l="0" t="0" r="2540" b="254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מדרשה 2020 תחת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81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7D0C9" w14:textId="746B2BD0" w:rsidR="00B43C88" w:rsidRDefault="00B43C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7683" w14:textId="77777777" w:rsidR="00535FAE" w:rsidRDefault="00535F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FCA2" w14:textId="77777777" w:rsidR="00A248B7" w:rsidRDefault="00A248B7" w:rsidP="00B43C88">
      <w:pPr>
        <w:spacing w:after="0" w:line="240" w:lineRule="auto"/>
      </w:pPr>
      <w:r>
        <w:separator/>
      </w:r>
    </w:p>
  </w:footnote>
  <w:footnote w:type="continuationSeparator" w:id="0">
    <w:p w14:paraId="736525EE" w14:textId="77777777" w:rsidR="00A248B7" w:rsidRDefault="00A248B7" w:rsidP="00B43C88">
      <w:pPr>
        <w:spacing w:after="0" w:line="240" w:lineRule="auto"/>
      </w:pPr>
      <w:r>
        <w:continuationSeparator/>
      </w:r>
    </w:p>
  </w:footnote>
  <w:footnote w:id="1">
    <w:p w14:paraId="2874A879" w14:textId="77777777" w:rsidR="00890552" w:rsidRDefault="00890552" w:rsidP="00890552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220135">
        <w:rPr>
          <w:rFonts w:hint="cs"/>
          <w:rtl/>
        </w:rPr>
        <w:t xml:space="preserve">מדרש איכה רבה, הקדמה פסקה לג, </w:t>
      </w:r>
      <w:r>
        <w:rPr>
          <w:rFonts w:hint="cs"/>
          <w:rtl/>
        </w:rPr>
        <w:t>וראו</w:t>
      </w:r>
      <w:r w:rsidRPr="00220135">
        <w:rPr>
          <w:rFonts w:hint="cs"/>
          <w:rtl/>
        </w:rPr>
        <w:t xml:space="preserve"> </w:t>
      </w:r>
      <w:r>
        <w:rPr>
          <w:rFonts w:hint="cs"/>
          <w:rtl/>
        </w:rPr>
        <w:t xml:space="preserve">גם בבלי, בבא </w:t>
      </w:r>
      <w:proofErr w:type="spellStart"/>
      <w:r>
        <w:rPr>
          <w:rFonts w:hint="cs"/>
          <w:rtl/>
        </w:rPr>
        <w:t>בתרא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קכא</w:t>
      </w:r>
      <w:proofErr w:type="spellEnd"/>
      <w:r>
        <w:rPr>
          <w:rFonts w:hint="cs"/>
          <w:rtl/>
        </w:rPr>
        <w:t>, ע"א</w:t>
      </w:r>
    </w:p>
  </w:footnote>
  <w:footnote w:id="2">
    <w:p w14:paraId="1E6FEF6B" w14:textId="77777777" w:rsidR="00890552" w:rsidRPr="00D35C6D" w:rsidRDefault="00890552" w:rsidP="00890552">
      <w:pPr>
        <w:pStyle w:val="ab"/>
        <w:rPr>
          <w:color w:val="FF0000"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משמעות הנונים ההפוכות ראו הרב יהושע ויצמן, המאגר התורני של ישיבת מעלות יעקב, לחיות עם פרשת השבוע, פרשת בהעלותך, למה </w:t>
      </w:r>
      <w:proofErr w:type="spellStart"/>
      <w:r>
        <w:rPr>
          <w:rFonts w:hint="cs"/>
          <w:rtl/>
        </w:rPr>
        <w:t>הנ</w:t>
      </w:r>
      <w:proofErr w:type="spellEnd"/>
      <w:r>
        <w:rPr>
          <w:rFonts w:hint="cs"/>
          <w:rtl/>
        </w:rPr>
        <w:t xml:space="preserve">' הפוכה? </w:t>
      </w:r>
    </w:p>
  </w:footnote>
  <w:footnote w:id="3">
    <w:p w14:paraId="47409DF5" w14:textId="77777777" w:rsidR="00890552" w:rsidRDefault="00890552" w:rsidP="00890552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זהו חטא פרטי ורק מרים נענשת עליו ולכן יכול בהקשר זה לשמש כגורם המפסיק בין פורענות לפורענות.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8A1A" w14:textId="77777777" w:rsidR="00535FAE" w:rsidRDefault="00535F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42B3" w14:textId="6BAB2F3E" w:rsidR="00B43C88" w:rsidRDefault="00B43C88" w:rsidP="00535FAE">
    <w:pPr>
      <w:pStyle w:val="a5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52F6D89D" wp14:editId="62E0EED4">
          <wp:simplePos x="0" y="0"/>
          <wp:positionH relativeFrom="margin">
            <wp:posOffset>-340995</wp:posOffset>
          </wp:positionH>
          <wp:positionV relativeFrom="margin">
            <wp:posOffset>-681990</wp:posOffset>
          </wp:positionV>
          <wp:extent cx="7405370" cy="1120140"/>
          <wp:effectExtent l="0" t="0" r="5080" b="381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ותמת משולבת מדרשה בית מדר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37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EED7" w14:textId="77777777" w:rsidR="00535FAE" w:rsidRDefault="00535F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8"/>
    <w:rsid w:val="000510FD"/>
    <w:rsid w:val="00154044"/>
    <w:rsid w:val="0018144C"/>
    <w:rsid w:val="00215C70"/>
    <w:rsid w:val="00267ABD"/>
    <w:rsid w:val="0029221E"/>
    <w:rsid w:val="003842F2"/>
    <w:rsid w:val="004B1F67"/>
    <w:rsid w:val="00535FAE"/>
    <w:rsid w:val="006357B9"/>
    <w:rsid w:val="006A647B"/>
    <w:rsid w:val="006B5312"/>
    <w:rsid w:val="00890346"/>
    <w:rsid w:val="00890552"/>
    <w:rsid w:val="00997F89"/>
    <w:rsid w:val="009A6FCA"/>
    <w:rsid w:val="009C6A8B"/>
    <w:rsid w:val="00A135D3"/>
    <w:rsid w:val="00A248B7"/>
    <w:rsid w:val="00B215CE"/>
    <w:rsid w:val="00B33304"/>
    <w:rsid w:val="00B43C88"/>
    <w:rsid w:val="00B85544"/>
    <w:rsid w:val="00C55370"/>
    <w:rsid w:val="00D20DA6"/>
    <w:rsid w:val="00E108A1"/>
    <w:rsid w:val="00E82C1A"/>
    <w:rsid w:val="00F1393D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3DFCB0"/>
  <w15:docId w15:val="{1B10DBE7-E463-4CE6-A92C-B47E0C6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2"/>
    <w:link w:val="10"/>
    <w:uiPriority w:val="9"/>
    <w:qFormat/>
    <w:rsid w:val="00E108A1"/>
    <w:pPr>
      <w:keepNext/>
      <w:keepLines/>
      <w:spacing w:before="240" w:after="0" w:line="360" w:lineRule="auto"/>
      <w:contextualSpacing/>
      <w:jc w:val="center"/>
      <w:outlineLvl w:val="0"/>
    </w:pPr>
    <w:rPr>
      <w:rFonts w:asciiTheme="majorHAnsi" w:eastAsiaTheme="majorEastAsia" w:hAnsiTheme="majorHAnsi" w:cs="David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108A1"/>
    <w:pPr>
      <w:keepNext/>
      <w:keepLines/>
      <w:spacing w:before="40" w:after="0" w:line="360" w:lineRule="auto"/>
      <w:contextualSpacing/>
      <w:jc w:val="right"/>
      <w:outlineLvl w:val="2"/>
    </w:pPr>
    <w:rPr>
      <w:rFonts w:asciiTheme="majorHAnsi" w:eastAsiaTheme="majorEastAsia" w:hAnsiTheme="majorHAnsi" w:cs="Miriam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3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3C88"/>
  </w:style>
  <w:style w:type="paragraph" w:styleId="a7">
    <w:name w:val="footer"/>
    <w:basedOn w:val="a"/>
    <w:link w:val="a8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3C88"/>
  </w:style>
  <w:style w:type="character" w:styleId="Hyperlink">
    <w:name w:val="Hyperlink"/>
    <w:rsid w:val="006357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044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108A1"/>
    <w:rPr>
      <w:rFonts w:asciiTheme="majorHAnsi" w:eastAsiaTheme="majorEastAsia" w:hAnsiTheme="majorHAnsi" w:cs="David"/>
      <w:bCs/>
      <w:sz w:val="32"/>
      <w:szCs w:val="28"/>
    </w:rPr>
  </w:style>
  <w:style w:type="character" w:customStyle="1" w:styleId="30">
    <w:name w:val="כותרת 3 תו"/>
    <w:basedOn w:val="a0"/>
    <w:link w:val="3"/>
    <w:uiPriority w:val="9"/>
    <w:rsid w:val="00E108A1"/>
    <w:rPr>
      <w:rFonts w:asciiTheme="majorHAnsi" w:eastAsiaTheme="majorEastAsia" w:hAnsiTheme="majorHAnsi" w:cs="Miriam"/>
      <w:sz w:val="24"/>
      <w:szCs w:val="18"/>
    </w:rPr>
  </w:style>
  <w:style w:type="paragraph" w:styleId="a9">
    <w:name w:val="Quote"/>
    <w:basedOn w:val="a"/>
    <w:next w:val="a"/>
    <w:link w:val="aa"/>
    <w:uiPriority w:val="99"/>
    <w:qFormat/>
    <w:rsid w:val="00E108A1"/>
    <w:pPr>
      <w:autoSpaceDE w:val="0"/>
      <w:autoSpaceDN w:val="0"/>
      <w:adjustRightInd w:val="0"/>
      <w:spacing w:line="360" w:lineRule="auto"/>
      <w:ind w:left="284"/>
      <w:contextualSpacing/>
      <w:jc w:val="both"/>
    </w:pPr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aa">
    <w:name w:val="ציטוט תו"/>
    <w:basedOn w:val="a0"/>
    <w:link w:val="a9"/>
    <w:uiPriority w:val="99"/>
    <w:rsid w:val="00E108A1"/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10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bu11">
    <w:name w:val="dbu11"/>
    <w:basedOn w:val="a"/>
    <w:rsid w:val="00890346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890346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890552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055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90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Zipi</dc:creator>
  <cp:lastModifiedBy>זהבית פריד</cp:lastModifiedBy>
  <cp:revision>2</cp:revision>
  <cp:lastPrinted>2020-12-17T09:04:00Z</cp:lastPrinted>
  <dcterms:created xsi:type="dcterms:W3CDTF">2021-05-20T05:03:00Z</dcterms:created>
  <dcterms:modified xsi:type="dcterms:W3CDTF">2021-05-20T05:03:00Z</dcterms:modified>
</cp:coreProperties>
</file>