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72" w:rsidRDefault="00CB6C72" w:rsidP="00CB6C72">
      <w:pPr>
        <w:pStyle w:val="DB11"/>
        <w:rPr>
          <w:rtl/>
        </w:rPr>
      </w:pPr>
      <w:bookmarkStart w:id="0" w:name="_GoBack"/>
      <w:bookmarkEnd w:id="0"/>
      <w:r>
        <w:rPr>
          <w:rFonts w:hint="cs"/>
          <w:rtl/>
        </w:rPr>
        <w:t xml:space="preserve">בס"ד, סיון </w:t>
      </w:r>
      <w:proofErr w:type="spellStart"/>
      <w:r>
        <w:rPr>
          <w:rFonts w:hint="cs"/>
          <w:rtl/>
        </w:rPr>
        <w:t>תש"ף</w:t>
      </w:r>
      <w:proofErr w:type="spellEnd"/>
    </w:p>
    <w:p w:rsidR="00CB6C72" w:rsidRDefault="00CB6C72" w:rsidP="00CB6C72">
      <w:pPr>
        <w:pStyle w:val="DB11"/>
        <w:rPr>
          <w:rtl/>
        </w:rPr>
      </w:pPr>
    </w:p>
    <w:p w:rsidR="00CB6C72" w:rsidRDefault="00CB6C72" w:rsidP="00CB6C72">
      <w:pPr>
        <w:pStyle w:val="DB11"/>
        <w:rPr>
          <w:rtl/>
        </w:rPr>
      </w:pPr>
    </w:p>
    <w:p w:rsidR="00CB6C72" w:rsidRPr="00CB6C72" w:rsidRDefault="00CB6C72" w:rsidP="00CB6C72">
      <w:pPr>
        <w:pStyle w:val="DB11"/>
        <w:jc w:val="center"/>
        <w:rPr>
          <w:sz w:val="52"/>
          <w:szCs w:val="52"/>
          <w:rtl/>
        </w:rPr>
      </w:pPr>
      <w:r w:rsidRPr="00CB6C72">
        <w:rPr>
          <w:rFonts w:hint="cs"/>
          <w:sz w:val="52"/>
          <w:szCs w:val="52"/>
          <w:rtl/>
        </w:rPr>
        <w:t xml:space="preserve">דבר תורה לפרשת קרח </w:t>
      </w:r>
      <w:r w:rsidRPr="00CB6C72">
        <w:rPr>
          <w:sz w:val="52"/>
          <w:szCs w:val="52"/>
          <w:rtl/>
        </w:rPr>
        <w:t>–</w:t>
      </w:r>
      <w:r w:rsidRPr="00CB6C72">
        <w:rPr>
          <w:rFonts w:hint="cs"/>
          <w:sz w:val="52"/>
          <w:szCs w:val="52"/>
          <w:rtl/>
        </w:rPr>
        <w:t xml:space="preserve"> הרב ישראל סמט</w:t>
      </w:r>
    </w:p>
    <w:p w:rsidR="00CB6C72" w:rsidRDefault="00CB6C72" w:rsidP="00CB6C72">
      <w:pPr>
        <w:pStyle w:val="DB11"/>
        <w:rPr>
          <w:rtl/>
        </w:rPr>
      </w:pPr>
    </w:p>
    <w:p w:rsidR="00CB6C72" w:rsidRPr="00CB6C72" w:rsidRDefault="00CB6C72" w:rsidP="00CB6C72">
      <w:pPr>
        <w:pStyle w:val="DB11"/>
        <w:jc w:val="center"/>
        <w:rPr>
          <w:sz w:val="36"/>
          <w:szCs w:val="36"/>
        </w:rPr>
      </w:pPr>
      <w:r w:rsidRPr="00CB6C72">
        <w:rPr>
          <w:sz w:val="36"/>
          <w:szCs w:val="36"/>
          <w:rtl/>
        </w:rPr>
        <w:t>מקורח ועד הלל</w:t>
      </w:r>
    </w:p>
    <w:p w:rsidR="00CB6C72" w:rsidRDefault="00CB6C72" w:rsidP="00CB6C72">
      <w:pPr>
        <w:pStyle w:val="D11"/>
        <w:rPr>
          <w:rtl/>
        </w:rPr>
      </w:pPr>
    </w:p>
    <w:p w:rsidR="00CB6C72" w:rsidRPr="00CB6C72" w:rsidRDefault="00CB6C72" w:rsidP="00CB6C72">
      <w:pPr>
        <w:pStyle w:val="D11"/>
        <w:rPr>
          <w:sz w:val="24"/>
          <w:szCs w:val="24"/>
          <w:rtl/>
        </w:rPr>
      </w:pPr>
      <w:r w:rsidRPr="00CB6C72">
        <w:rPr>
          <w:sz w:val="24"/>
          <w:szCs w:val="24"/>
          <w:rtl/>
        </w:rPr>
        <w:t>האם קורח צדק? או לפחות האם יש מן הצדק בטענותיו של קורח? המשנה</w:t>
      </w:r>
      <w:r w:rsidRPr="00CB6C72">
        <w:rPr>
          <w:rStyle w:val="ab"/>
          <w:sz w:val="24"/>
          <w:szCs w:val="24"/>
          <w:rtl/>
        </w:rPr>
        <w:footnoteReference w:id="1"/>
      </w:r>
      <w:r w:rsidRPr="00CB6C72">
        <w:rPr>
          <w:sz w:val="24"/>
          <w:szCs w:val="24"/>
          <w:rtl/>
        </w:rPr>
        <w:t xml:space="preserve"> קבעה כלל: "כל מחלוקת ... שאינה לשם שמים אין סופה להתקיים" המשנה המשיכה והדגימה את הכלל - "זו מחלוקת קורח וכל עדתו". על פי דברי המשנה היינו מצפים שלא יהיה זכר לקורח. והנה התורה מספרת</w:t>
      </w:r>
      <w:r w:rsidRPr="00CB6C72">
        <w:rPr>
          <w:rStyle w:val="ab"/>
          <w:sz w:val="24"/>
          <w:szCs w:val="24"/>
          <w:rtl/>
        </w:rPr>
        <w:footnoteReference w:id="2"/>
      </w:r>
      <w:r w:rsidRPr="00CB6C72">
        <w:rPr>
          <w:sz w:val="24"/>
          <w:szCs w:val="24"/>
          <w:rtl/>
        </w:rPr>
        <w:t xml:space="preserve"> </w:t>
      </w:r>
      <w:proofErr w:type="spellStart"/>
      <w:r w:rsidRPr="00CB6C72">
        <w:rPr>
          <w:sz w:val="24"/>
          <w:szCs w:val="24"/>
          <w:rtl/>
        </w:rPr>
        <w:t>ש'בְנֵי</w:t>
      </w:r>
      <w:proofErr w:type="spellEnd"/>
      <w:r w:rsidRPr="00CB6C72">
        <w:rPr>
          <w:sz w:val="24"/>
          <w:szCs w:val="24"/>
          <w:rtl/>
        </w:rPr>
        <w:t xml:space="preserve"> קֹרַח לֹא מֵתוּ'. ולא עוד, אלא שלבני קורח מיוחסים כמה מזמורים בספר תהלים.</w:t>
      </w:r>
      <w:r w:rsidRPr="00CB6C72">
        <w:rPr>
          <w:rStyle w:val="ab"/>
          <w:sz w:val="24"/>
          <w:szCs w:val="24"/>
          <w:rtl/>
        </w:rPr>
        <w:footnoteReference w:id="3"/>
      </w:r>
      <w:r w:rsidRPr="00CB6C72">
        <w:rPr>
          <w:sz w:val="24"/>
          <w:szCs w:val="24"/>
          <w:rtl/>
        </w:rPr>
        <w:t xml:space="preserve"> ספר דברי הימים (א ו) ייחס את הנביא שמואל לקורח. אם כן משפחת קורח לא רק המשיכה להתקיים ולא אבדה, אלא שאף עלתה לגדולה. על הקשר בין שמואל לקורח עמד המדרש</w:t>
      </w:r>
      <w:r w:rsidRPr="00CB6C72">
        <w:rPr>
          <w:rStyle w:val="ab"/>
          <w:sz w:val="24"/>
          <w:szCs w:val="24"/>
          <w:rtl/>
        </w:rPr>
        <w:footnoteReference w:id="4"/>
      </w:r>
      <w:r w:rsidRPr="00CB6C72">
        <w:rPr>
          <w:sz w:val="24"/>
          <w:szCs w:val="24"/>
          <w:rtl/>
        </w:rPr>
        <w:t xml:space="preserve"> שהסביר את מעשיו של קורח בכך שקורח "ראה שלשלת גדולה עומדת הימנו שמואל ששקול כמשה ואהרן". המובן הפשוט של המדרש הוא שקורח ניחן ביכולת נבואית, שבאמצעותה ראה את העתיד. כשראה שעתיד לעמוד מצאצאיו נביא ששקול כמשה ואהרון, חשב שמשהו מהגדולה הזו צריך להיראות כבר עכשיו. אך ניתן להבין את המדרש באופן אחר. המדרש לא התכוון לטעון שקורח ראה את העתיד, אלא </w:t>
      </w:r>
      <w:r w:rsidRPr="00CB6C72">
        <w:rPr>
          <w:b/>
          <w:bCs/>
          <w:sz w:val="24"/>
          <w:szCs w:val="24"/>
          <w:rtl/>
        </w:rPr>
        <w:t>שאנו</w:t>
      </w:r>
      <w:r w:rsidRPr="00CB6C72">
        <w:rPr>
          <w:sz w:val="24"/>
          <w:szCs w:val="24"/>
          <w:rtl/>
        </w:rPr>
        <w:t xml:space="preserve"> רואים את הסיפור כולו. אנחנו רואים את השושלת המפוארת שיצאה מקורח ותמהים, איך יתכן שמהאדם שיזם את המחלוקת יצאה כל הגדולה הזו? ה'ראייה' של קורח לא </w:t>
      </w:r>
      <w:proofErr w:type="spellStart"/>
      <w:r w:rsidRPr="00CB6C72">
        <w:rPr>
          <w:sz w:val="24"/>
          <w:szCs w:val="24"/>
          <w:rtl/>
        </w:rPr>
        <w:t>היתה</w:t>
      </w:r>
      <w:proofErr w:type="spellEnd"/>
      <w:r w:rsidRPr="00CB6C72">
        <w:rPr>
          <w:sz w:val="24"/>
          <w:szCs w:val="24"/>
          <w:rtl/>
        </w:rPr>
        <w:t xml:space="preserve"> ראיית העתיד כפשוטה. המדרש מלמד אותנו שבקורח </w:t>
      </w:r>
      <w:proofErr w:type="spellStart"/>
      <w:r w:rsidRPr="00CB6C72">
        <w:rPr>
          <w:sz w:val="24"/>
          <w:szCs w:val="24"/>
          <w:rtl/>
        </w:rPr>
        <w:t>היתה</w:t>
      </w:r>
      <w:proofErr w:type="spellEnd"/>
      <w:r w:rsidRPr="00CB6C72">
        <w:rPr>
          <w:sz w:val="24"/>
          <w:szCs w:val="24"/>
          <w:rtl/>
        </w:rPr>
        <w:t xml:space="preserve"> נקודה של אמת שעתידה להתגלות אצל זרעו. זרעו של קורח המשיך אותו לא רק במובן הפיזי אלא גם במובן הרוחני. קורח 'ראה' – חש בנקודת האמת שבו שתתגלה גם בצאצאיו, והיא שגרמה לו להתמרד. </w:t>
      </w:r>
    </w:p>
    <w:p w:rsidR="00CB6C72" w:rsidRPr="00CB6C72" w:rsidRDefault="00CB6C72" w:rsidP="00CB6C72">
      <w:pPr>
        <w:pStyle w:val="D11"/>
        <w:rPr>
          <w:sz w:val="24"/>
          <w:szCs w:val="24"/>
          <w:rtl/>
        </w:rPr>
      </w:pPr>
      <w:r w:rsidRPr="00CB6C72">
        <w:rPr>
          <w:sz w:val="24"/>
          <w:szCs w:val="24"/>
          <w:rtl/>
        </w:rPr>
        <w:t>כבר עמדו על כך שטענת קורח</w:t>
      </w:r>
      <w:r w:rsidRPr="00CB6C72">
        <w:rPr>
          <w:rStyle w:val="ab"/>
          <w:sz w:val="24"/>
          <w:szCs w:val="24"/>
          <w:rtl/>
        </w:rPr>
        <w:footnoteReference w:id="5"/>
      </w:r>
      <w:r w:rsidRPr="00CB6C72">
        <w:rPr>
          <w:sz w:val="24"/>
          <w:szCs w:val="24"/>
          <w:rtl/>
        </w:rPr>
        <w:t xml:space="preserve"> "כָל הָעֵדָה כֻּלָּם קְדֹשִׁים וּבְתוֹכָם ה'", היא טענה נכונה.</w:t>
      </w:r>
      <w:r w:rsidRPr="00CB6C72">
        <w:rPr>
          <w:rStyle w:val="ab"/>
          <w:sz w:val="24"/>
          <w:szCs w:val="24"/>
          <w:rtl/>
        </w:rPr>
        <w:footnoteReference w:id="6"/>
      </w:r>
      <w:r w:rsidRPr="00CB6C72">
        <w:rPr>
          <w:sz w:val="24"/>
          <w:szCs w:val="24"/>
          <w:rtl/>
        </w:rPr>
        <w:t xml:space="preserve"> קדושתם של ישראל נתפסת בתורה לא רק כיעוד ומצווה בבחינת 'קדושים </w:t>
      </w:r>
      <w:r w:rsidRPr="00CB6C72">
        <w:rPr>
          <w:b/>
          <w:bCs/>
          <w:sz w:val="24"/>
          <w:szCs w:val="24"/>
          <w:rtl/>
        </w:rPr>
        <w:t>תהיו</w:t>
      </w:r>
      <w:r w:rsidRPr="00CB6C72">
        <w:rPr>
          <w:sz w:val="24"/>
          <w:szCs w:val="24"/>
          <w:rtl/>
        </w:rPr>
        <w:t xml:space="preserve">', אלא גם כתיאור מציאות: "כִּי עַם קָדוֹשׁ אַתָּה לַה' </w:t>
      </w:r>
      <w:proofErr w:type="spellStart"/>
      <w:r w:rsidRPr="00CB6C72">
        <w:rPr>
          <w:sz w:val="24"/>
          <w:szCs w:val="24"/>
          <w:rtl/>
        </w:rPr>
        <w:t>אֱלֹהֶיך</w:t>
      </w:r>
      <w:proofErr w:type="spellEnd"/>
      <w:r w:rsidRPr="00CB6C72">
        <w:rPr>
          <w:sz w:val="24"/>
          <w:szCs w:val="24"/>
          <w:rtl/>
        </w:rPr>
        <w:t>ָ".</w:t>
      </w:r>
      <w:r w:rsidRPr="00CB6C72">
        <w:rPr>
          <w:rStyle w:val="ab"/>
          <w:sz w:val="24"/>
          <w:szCs w:val="24"/>
          <w:rtl/>
        </w:rPr>
        <w:footnoteReference w:id="7"/>
      </w:r>
      <w:r w:rsidRPr="00CB6C72">
        <w:rPr>
          <w:sz w:val="24"/>
          <w:szCs w:val="24"/>
          <w:rtl/>
        </w:rPr>
        <w:t xml:space="preserve"> זה הבסיס לתפיסתו של שמואל הנביא שהיה מזרעו של קורח שהקב"ה לא יעזוב את עמו אפילו אם יחטאו: "כִּי לֹא </w:t>
      </w:r>
      <w:proofErr w:type="spellStart"/>
      <w:r w:rsidRPr="00CB6C72">
        <w:rPr>
          <w:sz w:val="24"/>
          <w:szCs w:val="24"/>
          <w:rtl/>
        </w:rPr>
        <w:t>יִטֹּש</w:t>
      </w:r>
      <w:proofErr w:type="spellEnd"/>
      <w:r w:rsidRPr="00CB6C72">
        <w:rPr>
          <w:sz w:val="24"/>
          <w:szCs w:val="24"/>
          <w:rtl/>
        </w:rPr>
        <w:t>ׁ ה' אֶת עַמּוֹ בַּעֲבוּר שְׁמוֹ הַגָּדוֹל כִּי הוֹאִיל ה' לַעֲשׂוֹת אֶתְכֶם לוֹ לְעָם".</w:t>
      </w:r>
      <w:r w:rsidRPr="00CB6C72">
        <w:rPr>
          <w:rStyle w:val="ab"/>
          <w:sz w:val="24"/>
          <w:szCs w:val="24"/>
          <w:rtl/>
        </w:rPr>
        <w:footnoteReference w:id="8"/>
      </w:r>
      <w:r w:rsidRPr="00CB6C72">
        <w:rPr>
          <w:sz w:val="24"/>
          <w:szCs w:val="24"/>
          <w:rtl/>
        </w:rPr>
        <w:t xml:space="preserve"> הקדושה האימננטית שבאדם, עומדת גם במרכזם של כמה מעשים ידועים שעוסקים בהלל הזקן. כששאלו אותו בדרכו לבית המרחץ לאן הוא הולך? השיב: לעשות מצווה אני הולך. הלל הסביר </w:t>
      </w:r>
      <w:proofErr w:type="spellStart"/>
      <w:r w:rsidRPr="00CB6C72">
        <w:rPr>
          <w:sz w:val="24"/>
          <w:szCs w:val="24"/>
          <w:rtl/>
        </w:rPr>
        <w:t>לשואליו</w:t>
      </w:r>
      <w:proofErr w:type="spellEnd"/>
      <w:r w:rsidRPr="00CB6C72">
        <w:rPr>
          <w:sz w:val="24"/>
          <w:szCs w:val="24"/>
          <w:rtl/>
        </w:rPr>
        <w:t xml:space="preserve"> שיש חשיבות לנקות את </w:t>
      </w:r>
      <w:r w:rsidRPr="00CB6C72">
        <w:rPr>
          <w:sz w:val="24"/>
          <w:szCs w:val="24"/>
          <w:rtl/>
        </w:rPr>
        <w:lastRenderedPageBreak/>
        <w:t>הגוף כיון שהאדם נברא בצלם אלוקים.</w:t>
      </w:r>
      <w:r w:rsidRPr="00CB6C72">
        <w:rPr>
          <w:rStyle w:val="ab"/>
          <w:sz w:val="24"/>
          <w:szCs w:val="24"/>
          <w:rtl/>
        </w:rPr>
        <w:footnoteReference w:id="9"/>
      </w:r>
      <w:r w:rsidRPr="00CB6C72">
        <w:rPr>
          <w:sz w:val="24"/>
          <w:szCs w:val="24"/>
          <w:rtl/>
        </w:rPr>
        <w:t xml:space="preserve"> במעשה אחר, נשכחה מהלל הלכה ואמר שיש לאפשר לעם לעשות כפי שיראו לנכון: 'הניחו להם </w:t>
      </w:r>
      <w:r w:rsidRPr="00CB6C72">
        <w:rPr>
          <w:b/>
          <w:bCs/>
          <w:sz w:val="24"/>
          <w:szCs w:val="24"/>
          <w:rtl/>
        </w:rPr>
        <w:t>רוח הקדש עליהם</w:t>
      </w:r>
      <w:r w:rsidRPr="00CB6C72">
        <w:rPr>
          <w:sz w:val="24"/>
          <w:szCs w:val="24"/>
          <w:rtl/>
        </w:rPr>
        <w:t xml:space="preserve"> אם אין </w:t>
      </w:r>
      <w:proofErr w:type="spellStart"/>
      <w:r w:rsidRPr="00CB6C72">
        <w:rPr>
          <w:sz w:val="24"/>
          <w:szCs w:val="24"/>
          <w:rtl/>
        </w:rPr>
        <w:t>נביאין</w:t>
      </w:r>
      <w:proofErr w:type="spellEnd"/>
      <w:r w:rsidRPr="00CB6C72">
        <w:rPr>
          <w:sz w:val="24"/>
          <w:szCs w:val="24"/>
          <w:rtl/>
        </w:rPr>
        <w:t xml:space="preserve"> הן בני </w:t>
      </w:r>
      <w:proofErr w:type="spellStart"/>
      <w:r w:rsidRPr="00CB6C72">
        <w:rPr>
          <w:sz w:val="24"/>
          <w:szCs w:val="24"/>
          <w:rtl/>
        </w:rPr>
        <w:t>נביאין</w:t>
      </w:r>
      <w:proofErr w:type="spellEnd"/>
      <w:r w:rsidRPr="00CB6C72">
        <w:rPr>
          <w:sz w:val="24"/>
          <w:szCs w:val="24"/>
          <w:rtl/>
        </w:rPr>
        <w:t xml:space="preserve"> הן'.</w:t>
      </w:r>
      <w:r w:rsidRPr="00CB6C72">
        <w:rPr>
          <w:rStyle w:val="ab"/>
          <w:sz w:val="24"/>
          <w:szCs w:val="24"/>
          <w:rtl/>
        </w:rPr>
        <w:footnoteReference w:id="10"/>
      </w:r>
      <w:r w:rsidRPr="00CB6C72">
        <w:rPr>
          <w:sz w:val="24"/>
          <w:szCs w:val="24"/>
          <w:rtl/>
        </w:rPr>
        <w:t xml:space="preserve"> הלל סבר ש'כולם קדושים' </w:t>
      </w:r>
      <w:proofErr w:type="spellStart"/>
      <w:r w:rsidRPr="00CB6C72">
        <w:rPr>
          <w:sz w:val="24"/>
          <w:szCs w:val="24"/>
          <w:rtl/>
        </w:rPr>
        <w:t>ומכח</w:t>
      </w:r>
      <w:proofErr w:type="spellEnd"/>
      <w:r w:rsidRPr="00CB6C72">
        <w:rPr>
          <w:sz w:val="24"/>
          <w:szCs w:val="24"/>
          <w:rtl/>
        </w:rPr>
        <w:t xml:space="preserve"> רוח הקודש שעליהם יֵדעו לכוון להלכה.</w:t>
      </w:r>
    </w:p>
    <w:p w:rsidR="00CB6C72" w:rsidRPr="00CB6C72" w:rsidRDefault="00CB6C72" w:rsidP="00CB6C72">
      <w:pPr>
        <w:pStyle w:val="D11"/>
        <w:rPr>
          <w:sz w:val="24"/>
          <w:szCs w:val="24"/>
          <w:rtl/>
        </w:rPr>
      </w:pPr>
      <w:r w:rsidRPr="00CB6C72">
        <w:rPr>
          <w:sz w:val="24"/>
          <w:szCs w:val="24"/>
          <w:rtl/>
        </w:rPr>
        <w:t xml:space="preserve">כפי שראינו, בטענת קורח </w:t>
      </w:r>
      <w:proofErr w:type="spellStart"/>
      <w:r w:rsidRPr="00CB6C72">
        <w:rPr>
          <w:sz w:val="24"/>
          <w:szCs w:val="24"/>
          <w:rtl/>
        </w:rPr>
        <w:t>היתה</w:t>
      </w:r>
      <w:proofErr w:type="spellEnd"/>
      <w:r w:rsidRPr="00CB6C72">
        <w:rPr>
          <w:sz w:val="24"/>
          <w:szCs w:val="24"/>
          <w:rtl/>
        </w:rPr>
        <w:t xml:space="preserve"> נקודת אמת. אם כך במה חטא? </w:t>
      </w:r>
    </w:p>
    <w:p w:rsidR="00CB6C72" w:rsidRPr="00CB6C72" w:rsidRDefault="00CB6C72" w:rsidP="00CB6C72">
      <w:pPr>
        <w:pStyle w:val="D11"/>
        <w:rPr>
          <w:sz w:val="24"/>
          <w:szCs w:val="24"/>
          <w:rtl/>
        </w:rPr>
      </w:pPr>
      <w:r w:rsidRPr="00CB6C72">
        <w:rPr>
          <w:sz w:val="24"/>
          <w:szCs w:val="24"/>
          <w:rtl/>
        </w:rPr>
        <w:t>הסבר מעניין עולה מתוך מדרש ידוע נוסף שקושר את פרשת קורח לפרשת ציצית (שסיימה את הפרשה הקודמת). במדרש נאמר שקורח שאל את משה:</w:t>
      </w:r>
      <w:r w:rsidRPr="00CB6C72">
        <w:rPr>
          <w:rFonts w:hint="cs"/>
          <w:sz w:val="24"/>
          <w:szCs w:val="24"/>
        </w:rPr>
        <w:t xml:space="preserve"> </w:t>
      </w:r>
      <w:r w:rsidRPr="00CB6C72">
        <w:rPr>
          <w:sz w:val="24"/>
          <w:szCs w:val="24"/>
          <w:rtl/>
        </w:rPr>
        <w:t>"טלית שכולה תכלת מהו שתהא פטורה מן הציצית?"</w:t>
      </w:r>
      <w:r w:rsidRPr="00CB6C72">
        <w:rPr>
          <w:rStyle w:val="ab"/>
          <w:sz w:val="24"/>
          <w:szCs w:val="24"/>
          <w:rtl/>
        </w:rPr>
        <w:footnoteReference w:id="11"/>
      </w:r>
      <w:r w:rsidRPr="00CB6C72">
        <w:rPr>
          <w:sz w:val="24"/>
          <w:szCs w:val="24"/>
          <w:rtl/>
        </w:rPr>
        <w:t xml:space="preserve"> </w:t>
      </w:r>
      <w:proofErr w:type="spellStart"/>
      <w:r w:rsidRPr="00CB6C72">
        <w:rPr>
          <w:sz w:val="24"/>
          <w:szCs w:val="24"/>
          <w:rtl/>
        </w:rPr>
        <w:t>האבסודר</w:t>
      </w:r>
      <w:proofErr w:type="spellEnd"/>
      <w:r w:rsidRPr="00CB6C72">
        <w:rPr>
          <w:sz w:val="24"/>
          <w:szCs w:val="24"/>
          <w:rtl/>
        </w:rPr>
        <w:t xml:space="preserve"> שעליו רצה קורח להצביע, היה שאם ארבעה חוטים של תכלת פוטרים טלית שלמה, קל וחומר טלית שכולה תכלת תהיה פטורה. רבים פירשו שהטלית היא משל לעם ישראל.</w:t>
      </w:r>
      <w:r w:rsidRPr="00CB6C72">
        <w:rPr>
          <w:rStyle w:val="ab"/>
          <w:sz w:val="24"/>
          <w:szCs w:val="24"/>
          <w:rtl/>
        </w:rPr>
        <w:footnoteReference w:id="12"/>
      </w:r>
      <w:r w:rsidRPr="00CB6C72">
        <w:rPr>
          <w:sz w:val="24"/>
          <w:szCs w:val="24"/>
          <w:rtl/>
        </w:rPr>
        <w:t xml:space="preserve"> העדה הקדושה לא זקוקה לכהן ולמנהיג כשם שטלית שכולה תכלת לא זקוקה לחוטי תכלת נוספים. במילים אחרות: קורח דרש חברה שוויונית, שבה אין אדם אחד שולט </w:t>
      </w:r>
      <w:proofErr w:type="spellStart"/>
      <w:r w:rsidRPr="00CB6C72">
        <w:rPr>
          <w:sz w:val="24"/>
          <w:szCs w:val="24"/>
          <w:rtl/>
        </w:rPr>
        <w:t>בחבירו</w:t>
      </w:r>
      <w:proofErr w:type="spellEnd"/>
      <w:r w:rsidRPr="00CB6C72">
        <w:rPr>
          <w:sz w:val="24"/>
          <w:szCs w:val="24"/>
          <w:rtl/>
        </w:rPr>
        <w:t>.</w:t>
      </w:r>
    </w:p>
    <w:p w:rsidR="00CB6C72" w:rsidRPr="00CB6C72" w:rsidRDefault="00CB6C72" w:rsidP="00CB6C72">
      <w:pPr>
        <w:pStyle w:val="D11"/>
        <w:rPr>
          <w:sz w:val="24"/>
          <w:szCs w:val="24"/>
          <w:rtl/>
        </w:rPr>
      </w:pPr>
      <w:r w:rsidRPr="00CB6C72">
        <w:rPr>
          <w:sz w:val="24"/>
          <w:szCs w:val="24"/>
          <w:rtl/>
        </w:rPr>
        <w:t xml:space="preserve">משל הטלית, מדגיש נקודה חשובה בתפיסת קורח. קדושת העדה גורמת לכך שכולה 'תכלת'. כלומר כולה בגוון אחד מושלם. בטלית רגילה יכול להיות מגוון של צבעים. טלית שכולה תכלת היא בת גוון אחד ויחיד. מובן שבטלית כזו אין מקום לשוֹנוּת בין ישראל לכהן, בין מי שנבחר להנהיג למי שלא נבחר. </w:t>
      </w:r>
    </w:p>
    <w:p w:rsidR="00CB6C72" w:rsidRPr="00CB6C72" w:rsidRDefault="00CB6C72" w:rsidP="00CB6C72">
      <w:pPr>
        <w:pStyle w:val="D11"/>
        <w:rPr>
          <w:sz w:val="24"/>
          <w:szCs w:val="24"/>
          <w:rtl/>
        </w:rPr>
      </w:pPr>
      <w:r w:rsidRPr="00CB6C72">
        <w:rPr>
          <w:sz w:val="24"/>
          <w:szCs w:val="24"/>
          <w:rtl/>
        </w:rPr>
        <w:t>בנקודה זו הלך הלל הזקן בדרך אחרת מזו של קורח. התלמוד</w:t>
      </w:r>
      <w:r w:rsidRPr="00CB6C72">
        <w:rPr>
          <w:rStyle w:val="ab"/>
          <w:sz w:val="24"/>
          <w:szCs w:val="24"/>
          <w:rtl/>
        </w:rPr>
        <w:footnoteReference w:id="13"/>
      </w:r>
      <w:r w:rsidRPr="00CB6C72">
        <w:rPr>
          <w:sz w:val="24"/>
          <w:szCs w:val="24"/>
          <w:rtl/>
        </w:rPr>
        <w:t xml:space="preserve"> מספר על סדרת מפגשים של הלל עם אנשים שבאו להתגייר ועל </w:t>
      </w:r>
      <w:proofErr w:type="spellStart"/>
      <w:r w:rsidRPr="00CB6C72">
        <w:rPr>
          <w:sz w:val="24"/>
          <w:szCs w:val="24"/>
          <w:rtl/>
        </w:rPr>
        <w:t>התיחסותו</w:t>
      </w:r>
      <w:proofErr w:type="spellEnd"/>
      <w:r w:rsidRPr="00CB6C72">
        <w:rPr>
          <w:sz w:val="24"/>
          <w:szCs w:val="24"/>
          <w:rtl/>
        </w:rPr>
        <w:t xml:space="preserve"> לאנשים שבעיני השואל נראו חריגים. אחד המתגיירים ביקש מהלל ללמדו את כל התורה כשהוא עומד על רגל אחת. משמעות הבקשה היא רצון לפשט את התורה ולהעמיד אותה על עקרון אחד. תשובתו המפתיעה של הלל </w:t>
      </w:r>
      <w:proofErr w:type="spellStart"/>
      <w:r w:rsidRPr="00CB6C72">
        <w:rPr>
          <w:sz w:val="24"/>
          <w:szCs w:val="24"/>
          <w:rtl/>
        </w:rPr>
        <w:t>היתה</w:t>
      </w:r>
      <w:proofErr w:type="spellEnd"/>
      <w:r w:rsidRPr="00CB6C72">
        <w:rPr>
          <w:sz w:val="24"/>
          <w:szCs w:val="24"/>
          <w:rtl/>
        </w:rPr>
        <w:t>: "</w:t>
      </w:r>
      <w:proofErr w:type="spellStart"/>
      <w:r w:rsidRPr="00CB6C72">
        <w:rPr>
          <w:sz w:val="24"/>
          <w:szCs w:val="24"/>
          <w:rtl/>
        </w:rPr>
        <w:t>דעלך</w:t>
      </w:r>
      <w:proofErr w:type="spellEnd"/>
      <w:r w:rsidRPr="00CB6C72">
        <w:rPr>
          <w:sz w:val="24"/>
          <w:szCs w:val="24"/>
          <w:rtl/>
        </w:rPr>
        <w:t xml:space="preserve"> </w:t>
      </w:r>
      <w:proofErr w:type="spellStart"/>
      <w:r w:rsidRPr="00CB6C72">
        <w:rPr>
          <w:sz w:val="24"/>
          <w:szCs w:val="24"/>
          <w:rtl/>
        </w:rPr>
        <w:t>סני</w:t>
      </w:r>
      <w:proofErr w:type="spellEnd"/>
      <w:r w:rsidRPr="00CB6C72">
        <w:rPr>
          <w:sz w:val="24"/>
          <w:szCs w:val="24"/>
          <w:rtl/>
        </w:rPr>
        <w:t xml:space="preserve"> לחברך לא תעביד". כלומר: מה ששנוא עליך לא תעשה לחברך. באופן פרדוקסאלי, עקרון זה מתפרט לאין סוף פרטים, שהרי בבואי ליישם עקרון זה במציאות, עלי להבין את המיוחדות בכל אדם כדי לדעת מה הוא שונא. ראיית המיוחד שבכל אדם כ'כל התורה', משמעה שצלם אלוקים שבאדם לא הופך אותנו לזהים זה לזה, אלא מדגיש את המיוחד שבכל אדם. בקשת השוויון של קורח התגלתה כעריצות שמבקשת בני אדם זהים. שוויון אפשרי רק מתוך הכרה שאמנם "מלך מלכי המלכים הקדוש ברוך הוא טבע כל אדם בחותמו של אדם הראשון" אך בכל זאת גדולת בריאת האדם מתבטאת בכך ש"אין אחד מהן דומה </w:t>
      </w:r>
      <w:proofErr w:type="spellStart"/>
      <w:r w:rsidRPr="00CB6C72">
        <w:rPr>
          <w:sz w:val="24"/>
          <w:szCs w:val="24"/>
          <w:rtl/>
        </w:rPr>
        <w:t>לחבירו</w:t>
      </w:r>
      <w:proofErr w:type="spellEnd"/>
      <w:r w:rsidRPr="00CB6C72">
        <w:rPr>
          <w:sz w:val="24"/>
          <w:szCs w:val="24"/>
          <w:rtl/>
        </w:rPr>
        <w:t>".</w:t>
      </w:r>
      <w:r w:rsidRPr="00CB6C72">
        <w:rPr>
          <w:rStyle w:val="ab"/>
          <w:sz w:val="24"/>
          <w:szCs w:val="24"/>
          <w:rtl/>
        </w:rPr>
        <w:footnoteReference w:id="14"/>
      </w:r>
    </w:p>
    <w:p w:rsidR="00CB6C72" w:rsidRPr="00CB6C72" w:rsidRDefault="00CB6C72" w:rsidP="00CB6C72">
      <w:pPr>
        <w:pStyle w:val="D11"/>
        <w:rPr>
          <w:sz w:val="24"/>
          <w:szCs w:val="24"/>
          <w:rtl/>
        </w:rPr>
      </w:pPr>
    </w:p>
    <w:p w:rsidR="007D38E6" w:rsidRPr="00CB6C72" w:rsidRDefault="007D38E6" w:rsidP="001902DD">
      <w:pPr>
        <w:rPr>
          <w:sz w:val="24"/>
          <w:szCs w:val="24"/>
          <w:rtl/>
        </w:rPr>
      </w:pPr>
    </w:p>
    <w:sectPr w:rsidR="007D38E6" w:rsidRPr="00CB6C72"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CB6C72" w:rsidRDefault="00CB6C72" w:rsidP="00CB6C72">
      <w:pPr>
        <w:pStyle w:val="a9"/>
        <w:rPr>
          <w:rtl/>
        </w:rPr>
      </w:pPr>
      <w:r>
        <w:rPr>
          <w:rStyle w:val="ab"/>
        </w:rPr>
        <w:footnoteRef/>
      </w:r>
      <w:r>
        <w:rPr>
          <w:rtl/>
        </w:rPr>
        <w:t xml:space="preserve"> </w:t>
      </w:r>
      <w:r>
        <w:rPr>
          <w:rFonts w:hint="cs"/>
          <w:rtl/>
        </w:rPr>
        <w:t xml:space="preserve">אבות </w:t>
      </w:r>
      <w:proofErr w:type="spellStart"/>
      <w:r>
        <w:rPr>
          <w:rFonts w:hint="cs"/>
          <w:rtl/>
        </w:rPr>
        <w:t>ה,יז</w:t>
      </w:r>
      <w:proofErr w:type="spellEnd"/>
      <w:r>
        <w:rPr>
          <w:rFonts w:hint="cs"/>
          <w:rtl/>
        </w:rPr>
        <w:t>.</w:t>
      </w:r>
    </w:p>
  </w:footnote>
  <w:footnote w:id="2">
    <w:p w:rsidR="00CB6C72" w:rsidRDefault="00CB6C72" w:rsidP="00CB6C72">
      <w:pPr>
        <w:pStyle w:val="a9"/>
      </w:pPr>
      <w:r>
        <w:rPr>
          <w:rStyle w:val="ab"/>
        </w:rPr>
        <w:footnoteRef/>
      </w:r>
      <w:r>
        <w:rPr>
          <w:rtl/>
        </w:rPr>
        <w:t xml:space="preserve"> </w:t>
      </w:r>
      <w:r>
        <w:rPr>
          <w:rFonts w:hint="cs"/>
          <w:rtl/>
        </w:rPr>
        <w:t xml:space="preserve">במד' </w:t>
      </w:r>
      <w:proofErr w:type="spellStart"/>
      <w:r>
        <w:rPr>
          <w:rFonts w:hint="cs"/>
          <w:rtl/>
        </w:rPr>
        <w:t>כו,יא</w:t>
      </w:r>
      <w:proofErr w:type="spellEnd"/>
      <w:r>
        <w:rPr>
          <w:rFonts w:hint="cs"/>
          <w:rtl/>
        </w:rPr>
        <w:t>.</w:t>
      </w:r>
    </w:p>
  </w:footnote>
  <w:footnote w:id="3">
    <w:p w:rsidR="00CB6C72" w:rsidRDefault="00CB6C72" w:rsidP="00CB6C72">
      <w:pPr>
        <w:pStyle w:val="a9"/>
      </w:pPr>
      <w:r>
        <w:rPr>
          <w:rStyle w:val="ab"/>
        </w:rPr>
        <w:footnoteRef/>
      </w:r>
      <w:r>
        <w:rPr>
          <w:rtl/>
        </w:rPr>
        <w:t xml:space="preserve"> </w:t>
      </w:r>
      <w:r>
        <w:rPr>
          <w:rFonts w:hint="cs"/>
          <w:rtl/>
        </w:rPr>
        <w:t>מד-מט ועוד.</w:t>
      </w:r>
    </w:p>
  </w:footnote>
  <w:footnote w:id="4">
    <w:p w:rsidR="00CB6C72" w:rsidRDefault="00CB6C72" w:rsidP="00CB6C72">
      <w:pPr>
        <w:pStyle w:val="a9"/>
        <w:rPr>
          <w:rtl/>
        </w:rPr>
      </w:pPr>
      <w:r>
        <w:rPr>
          <w:rStyle w:val="ab"/>
        </w:rPr>
        <w:footnoteRef/>
      </w:r>
      <w:r>
        <w:rPr>
          <w:rtl/>
        </w:rPr>
        <w:t xml:space="preserve"> </w:t>
      </w:r>
      <w:proofErr w:type="spellStart"/>
      <w:r>
        <w:rPr>
          <w:rFonts w:hint="cs"/>
          <w:rtl/>
        </w:rPr>
        <w:t>במדב"ר</w:t>
      </w:r>
      <w:proofErr w:type="spellEnd"/>
      <w:r>
        <w:rPr>
          <w:rFonts w:hint="cs"/>
          <w:rtl/>
        </w:rPr>
        <w:t xml:space="preserve"> </w:t>
      </w:r>
      <w:proofErr w:type="spellStart"/>
      <w:r>
        <w:rPr>
          <w:rFonts w:hint="cs"/>
          <w:rtl/>
        </w:rPr>
        <w:t>יח,ח</w:t>
      </w:r>
      <w:proofErr w:type="spellEnd"/>
      <w:r>
        <w:rPr>
          <w:rFonts w:hint="cs"/>
          <w:rtl/>
        </w:rPr>
        <w:t>.</w:t>
      </w:r>
    </w:p>
  </w:footnote>
  <w:footnote w:id="5">
    <w:p w:rsidR="00CB6C72" w:rsidRDefault="00CB6C72" w:rsidP="00CB6C72">
      <w:pPr>
        <w:pStyle w:val="a9"/>
      </w:pPr>
      <w:r>
        <w:rPr>
          <w:rStyle w:val="ab"/>
        </w:rPr>
        <w:footnoteRef/>
      </w:r>
      <w:r>
        <w:rPr>
          <w:rtl/>
        </w:rPr>
        <w:t xml:space="preserve"> </w:t>
      </w:r>
      <w:r>
        <w:rPr>
          <w:rFonts w:hint="cs"/>
          <w:rtl/>
        </w:rPr>
        <w:t xml:space="preserve">במד' </w:t>
      </w:r>
      <w:proofErr w:type="spellStart"/>
      <w:r>
        <w:rPr>
          <w:rFonts w:hint="cs"/>
          <w:rtl/>
        </w:rPr>
        <w:t>טז,ג</w:t>
      </w:r>
      <w:proofErr w:type="spellEnd"/>
      <w:r>
        <w:rPr>
          <w:rFonts w:hint="cs"/>
          <w:rtl/>
        </w:rPr>
        <w:t>.</w:t>
      </w:r>
    </w:p>
  </w:footnote>
  <w:footnote w:id="6">
    <w:p w:rsidR="00CB6C72" w:rsidRDefault="00CB6C72" w:rsidP="00CB6C72">
      <w:pPr>
        <w:pStyle w:val="a9"/>
      </w:pPr>
      <w:r>
        <w:rPr>
          <w:rStyle w:val="ab"/>
        </w:rPr>
        <w:footnoteRef/>
      </w:r>
      <w:r>
        <w:rPr>
          <w:rtl/>
        </w:rPr>
        <w:t xml:space="preserve"> </w:t>
      </w:r>
      <w:r>
        <w:rPr>
          <w:rFonts w:hint="cs"/>
          <w:rtl/>
        </w:rPr>
        <w:t xml:space="preserve">ר' למשל מי השילוח קרח ד"ה מדוע תתנשאו; ר' ירוחם </w:t>
      </w:r>
      <w:proofErr w:type="spellStart"/>
      <w:r>
        <w:rPr>
          <w:rFonts w:hint="cs"/>
          <w:rtl/>
        </w:rPr>
        <w:t>ליבוביץ</w:t>
      </w:r>
      <w:proofErr w:type="spellEnd"/>
      <w:r>
        <w:rPr>
          <w:rFonts w:hint="cs"/>
          <w:rtl/>
        </w:rPr>
        <w:t xml:space="preserve">', דעת חכמה ומוסר עמ' </w:t>
      </w:r>
      <w:proofErr w:type="spellStart"/>
      <w:r>
        <w:rPr>
          <w:rFonts w:hint="cs"/>
          <w:rtl/>
        </w:rPr>
        <w:t>רח</w:t>
      </w:r>
      <w:proofErr w:type="spellEnd"/>
      <w:r>
        <w:rPr>
          <w:rFonts w:hint="cs"/>
          <w:rtl/>
        </w:rPr>
        <w:t>.</w:t>
      </w:r>
    </w:p>
  </w:footnote>
  <w:footnote w:id="7">
    <w:p w:rsidR="00CB6C72" w:rsidRDefault="00CB6C72" w:rsidP="00CB6C72">
      <w:pPr>
        <w:pStyle w:val="a9"/>
        <w:rPr>
          <w:rtl/>
        </w:rPr>
      </w:pPr>
      <w:r>
        <w:rPr>
          <w:rStyle w:val="ab"/>
        </w:rPr>
        <w:footnoteRef/>
      </w:r>
      <w:r>
        <w:rPr>
          <w:rtl/>
        </w:rPr>
        <w:t xml:space="preserve"> </w:t>
      </w:r>
      <w:r>
        <w:rPr>
          <w:rFonts w:hint="cs"/>
          <w:rtl/>
        </w:rPr>
        <w:t xml:space="preserve">דברים </w:t>
      </w:r>
      <w:proofErr w:type="spellStart"/>
      <w:r>
        <w:rPr>
          <w:rFonts w:hint="cs"/>
          <w:rtl/>
        </w:rPr>
        <w:t>ז,ו</w:t>
      </w:r>
      <w:proofErr w:type="spellEnd"/>
      <w:r>
        <w:rPr>
          <w:rFonts w:hint="cs"/>
          <w:rtl/>
        </w:rPr>
        <w:t xml:space="preserve">;  </w:t>
      </w:r>
      <w:proofErr w:type="spellStart"/>
      <w:r>
        <w:rPr>
          <w:rFonts w:hint="cs"/>
          <w:rtl/>
        </w:rPr>
        <w:t>יד,ב</w:t>
      </w:r>
      <w:proofErr w:type="spellEnd"/>
      <w:r>
        <w:rPr>
          <w:rFonts w:hint="cs"/>
          <w:rtl/>
        </w:rPr>
        <w:t xml:space="preserve"> ו-</w:t>
      </w:r>
      <w:proofErr w:type="spellStart"/>
      <w:r>
        <w:rPr>
          <w:rFonts w:hint="cs"/>
          <w:rtl/>
        </w:rPr>
        <w:t>כא</w:t>
      </w:r>
      <w:proofErr w:type="spellEnd"/>
      <w:r>
        <w:rPr>
          <w:rFonts w:hint="cs"/>
          <w:rtl/>
        </w:rPr>
        <w:t>.</w:t>
      </w:r>
    </w:p>
  </w:footnote>
  <w:footnote w:id="8">
    <w:p w:rsidR="00CB6C72" w:rsidRDefault="00CB6C72" w:rsidP="00CB6C72">
      <w:pPr>
        <w:pStyle w:val="a9"/>
      </w:pPr>
      <w:r>
        <w:rPr>
          <w:rStyle w:val="ab"/>
        </w:rPr>
        <w:footnoteRef/>
      </w:r>
      <w:r>
        <w:rPr>
          <w:rtl/>
        </w:rPr>
        <w:t xml:space="preserve"> </w:t>
      </w:r>
      <w:r>
        <w:rPr>
          <w:rFonts w:hint="cs"/>
          <w:rtl/>
        </w:rPr>
        <w:t xml:space="preserve">שמ"א </w:t>
      </w:r>
      <w:proofErr w:type="spellStart"/>
      <w:r>
        <w:rPr>
          <w:rFonts w:hint="cs"/>
          <w:rtl/>
        </w:rPr>
        <w:t>יב,כב</w:t>
      </w:r>
      <w:proofErr w:type="spellEnd"/>
      <w:r>
        <w:rPr>
          <w:rFonts w:hint="cs"/>
          <w:rtl/>
        </w:rPr>
        <w:t>.</w:t>
      </w:r>
    </w:p>
  </w:footnote>
  <w:footnote w:id="9">
    <w:p w:rsidR="00CB6C72" w:rsidRDefault="00CB6C72" w:rsidP="00CB6C72">
      <w:pPr>
        <w:pStyle w:val="a9"/>
      </w:pPr>
      <w:r>
        <w:rPr>
          <w:rStyle w:val="ab"/>
        </w:rPr>
        <w:footnoteRef/>
      </w:r>
      <w:r>
        <w:rPr>
          <w:rtl/>
        </w:rPr>
        <w:t xml:space="preserve"> </w:t>
      </w:r>
      <w:r>
        <w:rPr>
          <w:rFonts w:hint="cs"/>
          <w:rtl/>
        </w:rPr>
        <w:t xml:space="preserve">ע"פ </w:t>
      </w:r>
      <w:proofErr w:type="spellStart"/>
      <w:r>
        <w:rPr>
          <w:rFonts w:hint="cs"/>
          <w:rtl/>
        </w:rPr>
        <w:t>ויקר"ר</w:t>
      </w:r>
      <w:proofErr w:type="spellEnd"/>
      <w:r>
        <w:rPr>
          <w:rFonts w:hint="cs"/>
          <w:rtl/>
        </w:rPr>
        <w:t xml:space="preserve"> </w:t>
      </w:r>
      <w:proofErr w:type="spellStart"/>
      <w:r>
        <w:rPr>
          <w:rFonts w:hint="cs"/>
          <w:rtl/>
        </w:rPr>
        <w:t>לד,ג</w:t>
      </w:r>
      <w:proofErr w:type="spellEnd"/>
      <w:r>
        <w:rPr>
          <w:rFonts w:hint="cs"/>
          <w:rtl/>
        </w:rPr>
        <w:t>.</w:t>
      </w:r>
    </w:p>
  </w:footnote>
  <w:footnote w:id="10">
    <w:p w:rsidR="00CB6C72" w:rsidRDefault="00CB6C72" w:rsidP="00CB6C72">
      <w:pPr>
        <w:pStyle w:val="a9"/>
      </w:pPr>
      <w:r>
        <w:rPr>
          <w:rStyle w:val="ab"/>
        </w:rPr>
        <w:footnoteRef/>
      </w:r>
      <w:r>
        <w:rPr>
          <w:rtl/>
        </w:rPr>
        <w:t xml:space="preserve"> </w:t>
      </w:r>
      <w:proofErr w:type="spellStart"/>
      <w:r>
        <w:rPr>
          <w:rFonts w:hint="cs"/>
          <w:rtl/>
        </w:rPr>
        <w:t>תוספתא</w:t>
      </w:r>
      <w:proofErr w:type="spellEnd"/>
      <w:r>
        <w:rPr>
          <w:rFonts w:hint="cs"/>
          <w:rtl/>
        </w:rPr>
        <w:t xml:space="preserve"> פסחים </w:t>
      </w:r>
      <w:proofErr w:type="spellStart"/>
      <w:r>
        <w:rPr>
          <w:rFonts w:hint="cs"/>
          <w:rtl/>
        </w:rPr>
        <w:t>ד,יד</w:t>
      </w:r>
      <w:proofErr w:type="spellEnd"/>
      <w:r>
        <w:rPr>
          <w:rFonts w:hint="cs"/>
          <w:rtl/>
        </w:rPr>
        <w:t>.</w:t>
      </w:r>
    </w:p>
  </w:footnote>
  <w:footnote w:id="11">
    <w:p w:rsidR="00CB6C72" w:rsidRDefault="00CB6C72" w:rsidP="00CB6C72">
      <w:pPr>
        <w:pStyle w:val="a9"/>
      </w:pPr>
      <w:r>
        <w:rPr>
          <w:rStyle w:val="ab"/>
        </w:rPr>
        <w:footnoteRef/>
      </w:r>
      <w:r>
        <w:rPr>
          <w:rtl/>
        </w:rPr>
        <w:t xml:space="preserve"> </w:t>
      </w:r>
      <w:proofErr w:type="spellStart"/>
      <w:r>
        <w:rPr>
          <w:rFonts w:hint="cs"/>
          <w:rtl/>
        </w:rPr>
        <w:t>במדב"ר</w:t>
      </w:r>
      <w:proofErr w:type="spellEnd"/>
      <w:r>
        <w:rPr>
          <w:rFonts w:hint="cs"/>
          <w:rtl/>
        </w:rPr>
        <w:t xml:space="preserve"> </w:t>
      </w:r>
      <w:proofErr w:type="spellStart"/>
      <w:r>
        <w:rPr>
          <w:rFonts w:hint="cs"/>
          <w:rtl/>
        </w:rPr>
        <w:t>יח</w:t>
      </w:r>
      <w:proofErr w:type="spellEnd"/>
      <w:r>
        <w:rPr>
          <w:rFonts w:hint="cs"/>
          <w:rtl/>
        </w:rPr>
        <w:t>.</w:t>
      </w:r>
    </w:p>
  </w:footnote>
  <w:footnote w:id="12">
    <w:p w:rsidR="00CB6C72" w:rsidRDefault="00CB6C72" w:rsidP="00CB6C72">
      <w:pPr>
        <w:pStyle w:val="a9"/>
      </w:pPr>
      <w:r>
        <w:rPr>
          <w:rStyle w:val="ab"/>
        </w:rPr>
        <w:footnoteRef/>
      </w:r>
      <w:r>
        <w:rPr>
          <w:rtl/>
        </w:rPr>
        <w:t xml:space="preserve"> </w:t>
      </w:r>
      <w:r>
        <w:rPr>
          <w:rFonts w:hint="cs"/>
          <w:rtl/>
        </w:rPr>
        <w:t xml:space="preserve">ר' למשל מהר"ל בגור אריה במד'  </w:t>
      </w:r>
      <w:proofErr w:type="spellStart"/>
      <w:r>
        <w:rPr>
          <w:rFonts w:hint="cs"/>
          <w:rtl/>
        </w:rPr>
        <w:t>טז</w:t>
      </w:r>
      <w:proofErr w:type="spellEnd"/>
      <w:r>
        <w:rPr>
          <w:rFonts w:hint="cs"/>
          <w:rtl/>
        </w:rPr>
        <w:t>.</w:t>
      </w:r>
    </w:p>
  </w:footnote>
  <w:footnote w:id="13">
    <w:p w:rsidR="00CB6C72" w:rsidRDefault="00CB6C72" w:rsidP="00CB6C72">
      <w:pPr>
        <w:pStyle w:val="a9"/>
      </w:pPr>
      <w:r>
        <w:rPr>
          <w:rStyle w:val="ab"/>
        </w:rPr>
        <w:footnoteRef/>
      </w:r>
      <w:r>
        <w:rPr>
          <w:rtl/>
        </w:rPr>
        <w:t xml:space="preserve"> </w:t>
      </w:r>
      <w:r>
        <w:rPr>
          <w:rFonts w:hint="cs"/>
          <w:rtl/>
        </w:rPr>
        <w:t xml:space="preserve">בבלי שבת </w:t>
      </w:r>
      <w:proofErr w:type="spellStart"/>
      <w:r>
        <w:rPr>
          <w:rFonts w:hint="cs"/>
          <w:rtl/>
        </w:rPr>
        <w:t>ל,ב</w:t>
      </w:r>
      <w:proofErr w:type="spellEnd"/>
      <w:r>
        <w:rPr>
          <w:rFonts w:hint="cs"/>
          <w:rtl/>
        </w:rPr>
        <w:t>.</w:t>
      </w:r>
    </w:p>
  </w:footnote>
  <w:footnote w:id="14">
    <w:p w:rsidR="00CB6C72" w:rsidRDefault="00CB6C72" w:rsidP="00CB6C72">
      <w:pPr>
        <w:pStyle w:val="a9"/>
      </w:pPr>
      <w:r>
        <w:rPr>
          <w:rStyle w:val="ab"/>
        </w:rPr>
        <w:footnoteRef/>
      </w:r>
      <w:r>
        <w:rPr>
          <w:rtl/>
        </w:rPr>
        <w:t xml:space="preserve"> </w:t>
      </w:r>
      <w:r>
        <w:rPr>
          <w:rFonts w:hint="cs"/>
          <w:rtl/>
        </w:rPr>
        <w:t xml:space="preserve">משנה סנהדרין </w:t>
      </w:r>
      <w:proofErr w:type="spellStart"/>
      <w:r>
        <w:rPr>
          <w:rFonts w:hint="cs"/>
          <w:rtl/>
        </w:rPr>
        <w:t>ד,ה</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2DD"/>
    <w:rsid w:val="0019032E"/>
    <w:rsid w:val="001A2A8A"/>
    <w:rsid w:val="002252C7"/>
    <w:rsid w:val="00262E8D"/>
    <w:rsid w:val="0029307E"/>
    <w:rsid w:val="00485D30"/>
    <w:rsid w:val="005569B6"/>
    <w:rsid w:val="006D154F"/>
    <w:rsid w:val="007D38E6"/>
    <w:rsid w:val="00816E1A"/>
    <w:rsid w:val="008B6FD0"/>
    <w:rsid w:val="00A268F2"/>
    <w:rsid w:val="00CB6C7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semiHidden/>
    <w:unhideWhenUsed/>
    <w:rsid w:val="00CB6C72"/>
    <w:pPr>
      <w:spacing w:after="0" w:line="24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semiHidden/>
    <w:rsid w:val="00CB6C72"/>
    <w:rPr>
      <w:rFonts w:ascii="Times New Roman" w:eastAsia="Times New Roman" w:hAnsi="Times New Roman" w:cs="Times New Roman"/>
      <w:sz w:val="20"/>
      <w:szCs w:val="20"/>
      <w:lang w:eastAsia="he-IL"/>
    </w:rPr>
  </w:style>
  <w:style w:type="paragraph" w:customStyle="1" w:styleId="D11">
    <w:name w:val="D11"/>
    <w:rsid w:val="00CB6C72"/>
    <w:pPr>
      <w:bidi/>
      <w:spacing w:after="0" w:line="360" w:lineRule="auto"/>
      <w:jc w:val="both"/>
    </w:pPr>
    <w:rPr>
      <w:rFonts w:ascii="Arial" w:eastAsia="Times New Roman" w:hAnsi="Arial" w:cs="David"/>
      <w:lang w:eastAsia="he-IL"/>
    </w:rPr>
  </w:style>
  <w:style w:type="paragraph" w:customStyle="1" w:styleId="DB11">
    <w:name w:val="DB11"/>
    <w:basedOn w:val="D11"/>
    <w:next w:val="D11"/>
    <w:rsid w:val="00CB6C72"/>
    <w:rPr>
      <w:bCs/>
    </w:rPr>
  </w:style>
  <w:style w:type="character" w:styleId="ab">
    <w:name w:val="footnote reference"/>
    <w:semiHidden/>
    <w:unhideWhenUsed/>
    <w:rsid w:val="00CB6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3118</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2020-06-17T08:32:00Z</dcterms:created>
  <dcterms:modified xsi:type="dcterms:W3CDTF">2020-06-17T08:32:00Z</dcterms:modified>
</cp:coreProperties>
</file>