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83" w:rsidRDefault="00873083" w:rsidP="00873083">
      <w:pPr>
        <w:spacing w:line="360" w:lineRule="auto"/>
        <w:rPr>
          <w:b/>
          <w:bCs/>
          <w:rtl/>
        </w:rPr>
      </w:pPr>
      <w:r>
        <w:rPr>
          <w:rFonts w:hint="cs"/>
          <w:b/>
          <w:bCs/>
          <w:rtl/>
        </w:rPr>
        <w:t xml:space="preserve">בס"ד, אייר </w:t>
      </w:r>
      <w:proofErr w:type="spellStart"/>
      <w:r>
        <w:rPr>
          <w:rFonts w:hint="cs"/>
          <w:b/>
          <w:bCs/>
          <w:rtl/>
        </w:rPr>
        <w:t>תש"ף</w:t>
      </w:r>
      <w:proofErr w:type="spellEnd"/>
    </w:p>
    <w:p w:rsidR="00873083" w:rsidRPr="00873083" w:rsidRDefault="00873083" w:rsidP="00873083">
      <w:pPr>
        <w:spacing w:line="360" w:lineRule="auto"/>
        <w:jc w:val="center"/>
        <w:rPr>
          <w:b/>
          <w:bCs/>
          <w:sz w:val="40"/>
          <w:szCs w:val="40"/>
          <w:rtl/>
        </w:rPr>
      </w:pPr>
      <w:r w:rsidRPr="00873083">
        <w:rPr>
          <w:rFonts w:hint="cs"/>
          <w:b/>
          <w:bCs/>
          <w:sz w:val="40"/>
          <w:szCs w:val="40"/>
          <w:rtl/>
        </w:rPr>
        <w:t xml:space="preserve">פרשת אמור </w:t>
      </w:r>
      <w:r w:rsidRPr="00873083">
        <w:rPr>
          <w:b/>
          <w:bCs/>
          <w:sz w:val="40"/>
          <w:szCs w:val="40"/>
          <w:rtl/>
        </w:rPr>
        <w:t>–</w:t>
      </w:r>
      <w:r w:rsidRPr="00873083">
        <w:rPr>
          <w:rFonts w:hint="cs"/>
          <w:b/>
          <w:bCs/>
          <w:sz w:val="40"/>
          <w:szCs w:val="40"/>
          <w:rtl/>
        </w:rPr>
        <w:t xml:space="preserve"> ד"ר מירב (</w:t>
      </w:r>
      <w:proofErr w:type="spellStart"/>
      <w:r w:rsidRPr="00873083">
        <w:rPr>
          <w:rFonts w:hint="cs"/>
          <w:b/>
          <w:bCs/>
          <w:sz w:val="40"/>
          <w:szCs w:val="40"/>
          <w:rtl/>
        </w:rPr>
        <w:t>טובול</w:t>
      </w:r>
      <w:proofErr w:type="spellEnd"/>
      <w:r w:rsidRPr="00873083">
        <w:rPr>
          <w:rFonts w:hint="cs"/>
          <w:b/>
          <w:bCs/>
          <w:sz w:val="40"/>
          <w:szCs w:val="40"/>
          <w:rtl/>
        </w:rPr>
        <w:t>) כהנא</w:t>
      </w:r>
    </w:p>
    <w:p w:rsidR="00873083" w:rsidRPr="00873083" w:rsidRDefault="00873083" w:rsidP="00873083">
      <w:pPr>
        <w:spacing w:line="360" w:lineRule="auto"/>
        <w:jc w:val="center"/>
        <w:rPr>
          <w:rFonts w:hint="cs"/>
          <w:b/>
          <w:bCs/>
          <w:sz w:val="32"/>
          <w:szCs w:val="32"/>
          <w:rtl/>
        </w:rPr>
      </w:pPr>
      <w:r w:rsidRPr="00873083">
        <w:rPr>
          <w:rFonts w:hint="cs"/>
          <w:b/>
          <w:bCs/>
          <w:sz w:val="32"/>
          <w:szCs w:val="32"/>
          <w:rtl/>
        </w:rPr>
        <w:t>נשים במצוות ספירת העומר</w:t>
      </w:r>
      <w:bookmarkStart w:id="0" w:name="_GoBack"/>
      <w:bookmarkEnd w:id="0"/>
    </w:p>
    <w:p w:rsidR="00873083" w:rsidRDefault="00873083" w:rsidP="00873083">
      <w:pPr>
        <w:autoSpaceDE w:val="0"/>
        <w:autoSpaceDN w:val="0"/>
        <w:adjustRightInd w:val="0"/>
        <w:spacing w:line="360" w:lineRule="auto"/>
        <w:jc w:val="both"/>
        <w:rPr>
          <w:rtl/>
        </w:rPr>
      </w:pPr>
      <w:r>
        <w:rPr>
          <w:rFonts w:ascii="ResponsaTTF" w:hint="cs"/>
          <w:rtl/>
        </w:rPr>
        <w:t xml:space="preserve">המצווה המרכזית של הימים שאנו נמצאים כעת בעיצומם מוזכרת בפרשתנו </w:t>
      </w:r>
      <w:r>
        <w:rPr>
          <w:rFonts w:ascii="ResponsaTTF"/>
          <w:rtl/>
        </w:rPr>
        <w:t>–</w:t>
      </w:r>
      <w:r>
        <w:rPr>
          <w:rFonts w:ascii="ResponsaTTF" w:hint="cs"/>
          <w:rtl/>
        </w:rPr>
        <w:t xml:space="preserve"> מצוות ספירת העומר. בפשטות זו מצווה עשה קלאסית </w:t>
      </w:r>
      <w:r>
        <w:rPr>
          <w:rFonts w:hint="cs"/>
          <w:rtl/>
        </w:rPr>
        <w:t xml:space="preserve">עשה שהזמן </w:t>
      </w:r>
      <w:proofErr w:type="spellStart"/>
      <w:r>
        <w:rPr>
          <w:rFonts w:hint="cs"/>
          <w:rtl/>
        </w:rPr>
        <w:t>גרמא</w:t>
      </w:r>
      <w:proofErr w:type="spellEnd"/>
      <w:r>
        <w:rPr>
          <w:rFonts w:hint="cs"/>
          <w:rtl/>
        </w:rPr>
        <w:t xml:space="preserve"> </w:t>
      </w:r>
      <w:r>
        <w:rPr>
          <w:rtl/>
        </w:rPr>
        <w:t>–</w:t>
      </w:r>
      <w:r>
        <w:rPr>
          <w:rFonts w:hint="cs"/>
          <w:rtl/>
        </w:rPr>
        <w:t xml:space="preserve"> ממחרת השבת ועד יום החמישים. על פי יסוד הפטור הכללי [עם יוצאי דופן כמובן] </w:t>
      </w:r>
      <w:r>
        <w:rPr>
          <w:rtl/>
        </w:rPr>
        <w:t>–</w:t>
      </w:r>
      <w:r>
        <w:rPr>
          <w:rFonts w:hint="cs"/>
          <w:rtl/>
        </w:rPr>
        <w:t xml:space="preserve"> נשים פטורות ממצווה זו. </w:t>
      </w:r>
    </w:p>
    <w:p w:rsidR="00873083" w:rsidRDefault="00873083" w:rsidP="00873083">
      <w:pPr>
        <w:autoSpaceDE w:val="0"/>
        <w:autoSpaceDN w:val="0"/>
        <w:adjustRightInd w:val="0"/>
        <w:spacing w:line="360" w:lineRule="auto"/>
        <w:jc w:val="both"/>
        <w:rPr>
          <w:rtl/>
        </w:rPr>
      </w:pPr>
      <w:r>
        <w:rPr>
          <w:rFonts w:hint="cs"/>
          <w:rtl/>
        </w:rPr>
        <w:t xml:space="preserve">ידועה המחלוקת העקרונית סביב ברכה על מצוות עשה שהזמן </w:t>
      </w:r>
      <w:proofErr w:type="spellStart"/>
      <w:r>
        <w:rPr>
          <w:rFonts w:hint="cs"/>
          <w:rtl/>
        </w:rPr>
        <w:t>גרמא</w:t>
      </w:r>
      <w:proofErr w:type="spellEnd"/>
      <w:r>
        <w:rPr>
          <w:rFonts w:hint="cs"/>
          <w:rtl/>
        </w:rPr>
        <w:t xml:space="preserve"> לנשים. רבנו תם ובעלי התוספות קבעו שאישה הבוחרת לקיים מצוות אלו </w:t>
      </w:r>
      <w:r>
        <w:rPr>
          <w:rtl/>
        </w:rPr>
        <w:t>–</w:t>
      </w:r>
      <w:r>
        <w:rPr>
          <w:rFonts w:hint="cs"/>
          <w:rtl/>
        </w:rPr>
        <w:t xml:space="preserve"> יכולה לברך עליהן. כך פסק </w:t>
      </w:r>
      <w:proofErr w:type="spellStart"/>
      <w:r>
        <w:rPr>
          <w:rFonts w:hint="cs"/>
          <w:rtl/>
        </w:rPr>
        <w:t>הרמ"א</w:t>
      </w:r>
      <w:proofErr w:type="spellEnd"/>
      <w:r>
        <w:rPr>
          <w:rFonts w:hint="cs"/>
          <w:rtl/>
        </w:rPr>
        <w:t xml:space="preserve">, וכך נהוג ברוב קהילות אשכנז. לעומת זאת הרמב"ם קבע שעל אף שנשים יכולות לקיים מצוות שהזמן </w:t>
      </w:r>
      <w:proofErr w:type="spellStart"/>
      <w:r>
        <w:rPr>
          <w:rFonts w:hint="cs"/>
          <w:rtl/>
        </w:rPr>
        <w:t>גרמא</w:t>
      </w:r>
      <w:proofErr w:type="spellEnd"/>
      <w:r>
        <w:rPr>
          <w:rFonts w:hint="cs"/>
          <w:rtl/>
        </w:rPr>
        <w:t xml:space="preserve">, אסור להן לברך עליהן, וכך פסק להלכה גם השולחן </w:t>
      </w:r>
      <w:proofErr w:type="spellStart"/>
      <w:r>
        <w:rPr>
          <w:rFonts w:hint="cs"/>
          <w:rtl/>
        </w:rPr>
        <w:t>ערוך.לפי</w:t>
      </w:r>
      <w:proofErr w:type="spellEnd"/>
      <w:r>
        <w:rPr>
          <w:rFonts w:hint="cs"/>
          <w:rtl/>
        </w:rPr>
        <w:t xml:space="preserve"> דברים אלו, המנהג המפורסם הוא שבנות אשכנז הרוצות לספור ספירת העומר </w:t>
      </w:r>
      <w:r>
        <w:rPr>
          <w:rtl/>
        </w:rPr>
        <w:t>–</w:t>
      </w:r>
      <w:r>
        <w:rPr>
          <w:rFonts w:hint="cs"/>
          <w:rtl/>
        </w:rPr>
        <w:t xml:space="preserve"> יכולות לספור עם ברכה; ובנות ספרדיות </w:t>
      </w:r>
      <w:r>
        <w:rPr>
          <w:rtl/>
        </w:rPr>
        <w:t>–</w:t>
      </w:r>
      <w:r>
        <w:rPr>
          <w:rFonts w:hint="cs"/>
          <w:rtl/>
        </w:rPr>
        <w:t xml:space="preserve"> יכולות לספור ללא ברכה. </w:t>
      </w:r>
    </w:p>
    <w:p w:rsidR="00873083" w:rsidRPr="003D2BB2" w:rsidRDefault="00873083" w:rsidP="00873083">
      <w:pPr>
        <w:autoSpaceDE w:val="0"/>
        <w:autoSpaceDN w:val="0"/>
        <w:adjustRightInd w:val="0"/>
        <w:spacing w:line="360" w:lineRule="auto"/>
        <w:jc w:val="both"/>
        <w:rPr>
          <w:rFonts w:ascii="ResponsaTTF"/>
          <w:rtl/>
        </w:rPr>
      </w:pPr>
      <w:r>
        <w:rPr>
          <w:rFonts w:hint="cs"/>
          <w:rtl/>
        </w:rPr>
        <w:t xml:space="preserve">אולם ביחס למצוות ספירת העומר מצאנו מספר התייחסויות שונות </w:t>
      </w:r>
      <w:proofErr w:type="spellStart"/>
      <w:r>
        <w:rPr>
          <w:rFonts w:hint="cs"/>
          <w:rtl/>
        </w:rPr>
        <w:t>המחריגות</w:t>
      </w:r>
      <w:proofErr w:type="spellEnd"/>
      <w:r>
        <w:rPr>
          <w:rFonts w:hint="cs"/>
          <w:rtl/>
        </w:rPr>
        <w:t xml:space="preserve"> את המצווה מההילוך הרגיל של סוגיית מצוות עשה שהזמן </w:t>
      </w:r>
      <w:proofErr w:type="spellStart"/>
      <w:r>
        <w:rPr>
          <w:rFonts w:hint="cs"/>
          <w:rtl/>
        </w:rPr>
        <w:t>גרמא</w:t>
      </w:r>
      <w:proofErr w:type="spellEnd"/>
      <w:r>
        <w:rPr>
          <w:rFonts w:hint="cs"/>
          <w:rtl/>
        </w:rPr>
        <w:t xml:space="preserve">. </w:t>
      </w:r>
    </w:p>
    <w:p w:rsidR="00873083" w:rsidRDefault="00873083" w:rsidP="00873083">
      <w:pPr>
        <w:spacing w:line="360" w:lineRule="auto"/>
        <w:jc w:val="both"/>
        <w:rPr>
          <w:rtl/>
        </w:rPr>
      </w:pPr>
      <w:r>
        <w:rPr>
          <w:rFonts w:hint="cs"/>
          <w:rtl/>
        </w:rPr>
        <w:t xml:space="preserve">המגן אברהם [פוסק מהאחרונים, אשכנזי] כותב </w:t>
      </w:r>
      <w:r>
        <w:rPr>
          <w:rtl/>
        </w:rPr>
        <w:t>–</w:t>
      </w:r>
      <w:r>
        <w:rPr>
          <w:rFonts w:hint="cs"/>
          <w:rtl/>
        </w:rPr>
        <w:t xml:space="preserve"> שאע"פ שנשים פטורות מהמצווה, הן כבר קיבלו אותה עליהן, וכעת היא בגדר חובה עבורן. אחרונים השיגו והעירו עליו, </w:t>
      </w:r>
      <w:proofErr w:type="spellStart"/>
      <w:r>
        <w:rPr>
          <w:rFonts w:hint="cs"/>
          <w:rtl/>
        </w:rPr>
        <w:t>שאיך</w:t>
      </w:r>
      <w:proofErr w:type="spellEnd"/>
      <w:r>
        <w:rPr>
          <w:rFonts w:hint="cs"/>
          <w:rtl/>
        </w:rPr>
        <w:t xml:space="preserve"> אפשר שדבר שהוא בגדר 'פטור' יהפוך להיות 'חובה', אפילו אם הנשים קיבלו עליהן. מעניין שכנגד הנוהג שמכיר המגן אברהם </w:t>
      </w:r>
      <w:r>
        <w:rPr>
          <w:rtl/>
        </w:rPr>
        <w:t>–</w:t>
      </w:r>
      <w:r>
        <w:rPr>
          <w:rFonts w:hint="cs"/>
          <w:rtl/>
        </w:rPr>
        <w:t xml:space="preserve"> שנשים קיבלו עליהן את המצווה, מציין החפץ חיים "שבמדינותינו" הנשים [האשכנזיות] אינן נוהגות כלל לספור. </w:t>
      </w:r>
    </w:p>
    <w:p w:rsidR="00873083" w:rsidRDefault="00873083" w:rsidP="00873083">
      <w:pPr>
        <w:autoSpaceDE w:val="0"/>
        <w:autoSpaceDN w:val="0"/>
        <w:adjustRightInd w:val="0"/>
        <w:spacing w:line="360" w:lineRule="auto"/>
        <w:jc w:val="both"/>
        <w:rPr>
          <w:rFonts w:ascii="ResponsaTTF"/>
          <w:rtl/>
        </w:rPr>
      </w:pPr>
      <w:r>
        <w:rPr>
          <w:rFonts w:ascii="ResponsaTTF" w:hint="cs"/>
          <w:rtl/>
        </w:rPr>
        <w:t xml:space="preserve">זאת ועוד, החפץ חיים במשנה ברורה קובע שאע"פ שנשים אשכנזיות מברכות על מצוות שהזמן </w:t>
      </w:r>
      <w:proofErr w:type="spellStart"/>
      <w:r>
        <w:rPr>
          <w:rFonts w:ascii="ResponsaTTF" w:hint="cs"/>
          <w:rtl/>
        </w:rPr>
        <w:t>גרמא</w:t>
      </w:r>
      <w:proofErr w:type="spellEnd"/>
      <w:r>
        <w:rPr>
          <w:rFonts w:ascii="ResponsaTTF" w:hint="cs"/>
          <w:rtl/>
        </w:rPr>
        <w:t>, על ספירת העומר לא יברכו כי</w:t>
      </w:r>
      <w:r w:rsidRPr="009C4D81">
        <w:rPr>
          <w:rFonts w:ascii="ResponsaTTF"/>
          <w:rtl/>
        </w:rPr>
        <w:t xml:space="preserve"> </w:t>
      </w:r>
      <w:r>
        <w:rPr>
          <w:rFonts w:ascii="ResponsaTTF" w:hint="cs"/>
          <w:rtl/>
        </w:rPr>
        <w:t>"</w:t>
      </w:r>
      <w:r w:rsidRPr="009C4D81">
        <w:rPr>
          <w:rFonts w:ascii="ResponsaTTF" w:hint="eastAsia"/>
          <w:rtl/>
        </w:rPr>
        <w:t>בו</w:t>
      </w:r>
      <w:r>
        <w:rPr>
          <w:rFonts w:ascii="ResponsaTTF" w:hint="cs"/>
          <w:rtl/>
        </w:rPr>
        <w:t>ו</w:t>
      </w:r>
      <w:r w:rsidRPr="009C4D81">
        <w:rPr>
          <w:rFonts w:ascii="ResponsaTTF" w:hint="eastAsia"/>
          <w:rtl/>
        </w:rPr>
        <w:t>דאי</w:t>
      </w:r>
      <w:r w:rsidRPr="009C4D81">
        <w:rPr>
          <w:rFonts w:ascii="ResponsaTTF"/>
          <w:rtl/>
        </w:rPr>
        <w:t xml:space="preserve"> </w:t>
      </w:r>
      <w:r w:rsidRPr="009C4D81">
        <w:rPr>
          <w:rFonts w:ascii="ResponsaTTF" w:hint="eastAsia"/>
          <w:rtl/>
        </w:rPr>
        <w:t>יטעו</w:t>
      </w:r>
      <w:r w:rsidRPr="009C4D81">
        <w:rPr>
          <w:rFonts w:ascii="ResponsaTTF"/>
          <w:rtl/>
        </w:rPr>
        <w:t xml:space="preserve"> </w:t>
      </w:r>
      <w:r w:rsidRPr="009C4D81">
        <w:rPr>
          <w:rFonts w:ascii="ResponsaTTF" w:hint="eastAsia"/>
          <w:rtl/>
        </w:rPr>
        <w:t>ביום</w:t>
      </w:r>
      <w:r w:rsidRPr="009C4D81">
        <w:rPr>
          <w:rFonts w:ascii="ResponsaTTF"/>
          <w:rtl/>
        </w:rPr>
        <w:t xml:space="preserve"> </w:t>
      </w:r>
      <w:r w:rsidRPr="009C4D81">
        <w:rPr>
          <w:rFonts w:ascii="ResponsaTTF" w:hint="eastAsia"/>
          <w:rtl/>
        </w:rPr>
        <w:t>אחד</w:t>
      </w:r>
      <w:r>
        <w:rPr>
          <w:rFonts w:ascii="ResponsaTTF" w:hint="cs"/>
          <w:rtl/>
        </w:rPr>
        <w:t>,</w:t>
      </w:r>
      <w:r w:rsidRPr="009C4D81">
        <w:rPr>
          <w:rFonts w:ascii="ResponsaTTF"/>
          <w:rtl/>
        </w:rPr>
        <w:t xml:space="preserve"> </w:t>
      </w:r>
      <w:r w:rsidRPr="009C4D81">
        <w:rPr>
          <w:rFonts w:ascii="ResponsaTTF" w:hint="eastAsia"/>
          <w:rtl/>
        </w:rPr>
        <w:t>וגם</w:t>
      </w:r>
      <w:r w:rsidRPr="009C4D81">
        <w:rPr>
          <w:rFonts w:ascii="ResponsaTTF"/>
          <w:rtl/>
        </w:rPr>
        <w:t xml:space="preserve"> </w:t>
      </w:r>
      <w:r w:rsidRPr="009C4D81">
        <w:rPr>
          <w:rFonts w:ascii="ResponsaTTF" w:hint="eastAsia"/>
          <w:rtl/>
        </w:rPr>
        <w:t>ע</w:t>
      </w:r>
      <w:r>
        <w:rPr>
          <w:rFonts w:ascii="ResponsaTTF" w:hint="cs"/>
          <w:rtl/>
        </w:rPr>
        <w:t xml:space="preserve">ל </w:t>
      </w:r>
      <w:r w:rsidRPr="009C4D81">
        <w:rPr>
          <w:rFonts w:ascii="ResponsaTTF" w:hint="eastAsia"/>
          <w:rtl/>
        </w:rPr>
        <w:t>פ</w:t>
      </w:r>
      <w:r>
        <w:rPr>
          <w:rFonts w:ascii="ResponsaTTF" w:hint="cs"/>
          <w:rtl/>
        </w:rPr>
        <w:t>י</w:t>
      </w:r>
      <w:r w:rsidRPr="009C4D81">
        <w:rPr>
          <w:rFonts w:ascii="ResponsaTTF"/>
          <w:rtl/>
        </w:rPr>
        <w:t xml:space="preserve"> </w:t>
      </w:r>
      <w:r w:rsidRPr="009C4D81">
        <w:rPr>
          <w:rFonts w:ascii="ResponsaTTF" w:hint="eastAsia"/>
          <w:rtl/>
        </w:rPr>
        <w:t>רוב</w:t>
      </w:r>
      <w:r w:rsidRPr="009C4D81">
        <w:rPr>
          <w:rFonts w:ascii="ResponsaTTF"/>
          <w:rtl/>
        </w:rPr>
        <w:t xml:space="preserve"> </w:t>
      </w:r>
      <w:r w:rsidRPr="009C4D81">
        <w:rPr>
          <w:rFonts w:ascii="ResponsaTTF" w:hint="eastAsia"/>
          <w:rtl/>
        </w:rPr>
        <w:t>אינם</w:t>
      </w:r>
      <w:r w:rsidRPr="009C4D81">
        <w:rPr>
          <w:rFonts w:ascii="ResponsaTTF"/>
          <w:rtl/>
        </w:rPr>
        <w:t xml:space="preserve"> </w:t>
      </w:r>
      <w:r w:rsidRPr="009C4D81">
        <w:rPr>
          <w:rFonts w:ascii="ResponsaTTF" w:hint="eastAsia"/>
          <w:rtl/>
        </w:rPr>
        <w:t>יודעים</w:t>
      </w:r>
      <w:r w:rsidRPr="009C4D81">
        <w:rPr>
          <w:rFonts w:ascii="ResponsaTTF"/>
          <w:rtl/>
        </w:rPr>
        <w:t xml:space="preserve"> </w:t>
      </w:r>
      <w:r>
        <w:rPr>
          <w:rFonts w:ascii="ResponsaTTF" w:hint="cs"/>
          <w:rtl/>
        </w:rPr>
        <w:t xml:space="preserve">[אינן יודעות] </w:t>
      </w:r>
      <w:r w:rsidRPr="009C4D81">
        <w:rPr>
          <w:rFonts w:ascii="ResponsaTTF" w:hint="eastAsia"/>
          <w:rtl/>
        </w:rPr>
        <w:t>פירוש</w:t>
      </w:r>
      <w:r w:rsidRPr="009C4D81">
        <w:rPr>
          <w:rFonts w:ascii="ResponsaTTF"/>
          <w:rtl/>
        </w:rPr>
        <w:t xml:space="preserve"> </w:t>
      </w:r>
      <w:r w:rsidRPr="009C4D81">
        <w:rPr>
          <w:rFonts w:ascii="ResponsaTTF" w:hint="eastAsia"/>
          <w:rtl/>
        </w:rPr>
        <w:t>המלות</w:t>
      </w:r>
      <w:r>
        <w:rPr>
          <w:rFonts w:ascii="ResponsaTTF" w:hint="cs"/>
          <w:rtl/>
        </w:rPr>
        <w:t>". לאור דברים אלו יש מבנות אשכנז הנוהגות לספור ללא ברכה.</w:t>
      </w:r>
    </w:p>
    <w:p w:rsidR="00873083" w:rsidRDefault="00873083" w:rsidP="00873083">
      <w:pPr>
        <w:autoSpaceDE w:val="0"/>
        <w:autoSpaceDN w:val="0"/>
        <w:adjustRightInd w:val="0"/>
        <w:spacing w:line="360" w:lineRule="auto"/>
        <w:jc w:val="both"/>
        <w:rPr>
          <w:rFonts w:ascii="ResponsaTTF"/>
          <w:rtl/>
        </w:rPr>
      </w:pPr>
      <w:r>
        <w:rPr>
          <w:rFonts w:ascii="ResponsaTTF" w:hint="cs"/>
          <w:rtl/>
        </w:rPr>
        <w:t xml:space="preserve">גישה זו של המשנה ברורה נדחתה ע"י הרב </w:t>
      </w:r>
      <w:proofErr w:type="spellStart"/>
      <w:r>
        <w:rPr>
          <w:rFonts w:ascii="ResponsaTTF" w:hint="cs"/>
          <w:rtl/>
        </w:rPr>
        <w:t>אויערבך</w:t>
      </w:r>
      <w:proofErr w:type="spellEnd"/>
      <w:r>
        <w:rPr>
          <w:rFonts w:ascii="ResponsaTTF" w:hint="cs"/>
          <w:rtl/>
        </w:rPr>
        <w:t xml:space="preserve">, שסבר שהנשים האשכנזיות יכולות ספור בברכה, וכך נאמר משמו: "שכיום מתחנכות הבנות [האשכנזיות] לספור ספירת העומר בברכה, ויותר מסתבר שהם יזכרו לספור ולברך יותר מהאנשים שמתפללים ערבית ביחידות, וגם הטעם שאינם מבינים לשון הקודש לא שייך אצלנו". </w:t>
      </w:r>
    </w:p>
    <w:p w:rsidR="00873083" w:rsidRDefault="00873083" w:rsidP="00873083">
      <w:pPr>
        <w:autoSpaceDE w:val="0"/>
        <w:autoSpaceDN w:val="0"/>
        <w:adjustRightInd w:val="0"/>
        <w:spacing w:line="360" w:lineRule="auto"/>
        <w:jc w:val="both"/>
        <w:rPr>
          <w:rFonts w:ascii="ResponsaTTF"/>
          <w:rtl/>
        </w:rPr>
      </w:pPr>
      <w:r>
        <w:rPr>
          <w:rFonts w:ascii="ResponsaTTF" w:hint="cs"/>
          <w:rtl/>
        </w:rPr>
        <w:t>הפוסקים על פי הקבלה קבעו שאין לנשים לספור ספירת העומר כלל, גם לא ספירה ללא ברכה. כך למשל הרחיב הבן איש חי בניתוחו את דברי הזוהר בכלל ודברי האר"י בפרט ביחס למצווה זו. לדבריו גם האר"י סובר שיש "</w:t>
      </w:r>
      <w:r w:rsidRPr="009C4D81">
        <w:rPr>
          <w:rFonts w:ascii="ResponsaTTF" w:hint="eastAsia"/>
          <w:rtl/>
        </w:rPr>
        <w:t>איזה</w:t>
      </w:r>
      <w:r w:rsidRPr="009C4D81">
        <w:rPr>
          <w:rFonts w:ascii="ResponsaTTF"/>
          <w:rtl/>
        </w:rPr>
        <w:t xml:space="preserve"> </w:t>
      </w:r>
      <w:r w:rsidRPr="009C4D81">
        <w:rPr>
          <w:rFonts w:ascii="ResponsaTTF" w:hint="eastAsia"/>
          <w:rtl/>
        </w:rPr>
        <w:t>תועלת</w:t>
      </w:r>
      <w:r w:rsidRPr="009C4D81">
        <w:rPr>
          <w:rFonts w:ascii="ResponsaTTF"/>
          <w:rtl/>
        </w:rPr>
        <w:t xml:space="preserve"> </w:t>
      </w:r>
      <w:r w:rsidRPr="009C4D81">
        <w:rPr>
          <w:rFonts w:ascii="ResponsaTTF" w:hint="eastAsia"/>
          <w:rtl/>
        </w:rPr>
        <w:t>במקצת</w:t>
      </w:r>
      <w:r w:rsidRPr="009C4D81">
        <w:rPr>
          <w:rFonts w:ascii="ResponsaTTF"/>
          <w:rtl/>
        </w:rPr>
        <w:t xml:space="preserve"> </w:t>
      </w:r>
      <w:r w:rsidRPr="009C4D81">
        <w:rPr>
          <w:rFonts w:ascii="ResponsaTTF" w:hint="eastAsia"/>
          <w:rtl/>
        </w:rPr>
        <w:t>מצד</w:t>
      </w:r>
      <w:r w:rsidRPr="009C4D81">
        <w:rPr>
          <w:rFonts w:ascii="ResponsaTTF"/>
          <w:rtl/>
        </w:rPr>
        <w:t xml:space="preserve"> </w:t>
      </w:r>
      <w:r w:rsidRPr="009C4D81">
        <w:rPr>
          <w:rFonts w:ascii="ResponsaTTF" w:hint="eastAsia"/>
          <w:rtl/>
        </w:rPr>
        <w:t>מעשיהם</w:t>
      </w:r>
      <w:r>
        <w:rPr>
          <w:rFonts w:ascii="ResponsaTTF" w:hint="cs"/>
          <w:rtl/>
        </w:rPr>
        <w:t>"</w:t>
      </w:r>
      <w:r w:rsidRPr="009C4D81">
        <w:rPr>
          <w:rFonts w:ascii="ResponsaTTF"/>
          <w:rtl/>
        </w:rPr>
        <w:t xml:space="preserve">, </w:t>
      </w:r>
      <w:r>
        <w:rPr>
          <w:rFonts w:ascii="ResponsaTTF" w:hint="cs"/>
          <w:rtl/>
        </w:rPr>
        <w:t xml:space="preserve">אם אישה מקיימת מצוות עשה שהזמן </w:t>
      </w:r>
      <w:proofErr w:type="spellStart"/>
      <w:r>
        <w:rPr>
          <w:rFonts w:ascii="ResponsaTTF" w:hint="cs"/>
          <w:rtl/>
        </w:rPr>
        <w:t>גרמא</w:t>
      </w:r>
      <w:proofErr w:type="spellEnd"/>
      <w:r>
        <w:rPr>
          <w:rFonts w:ascii="ResponsaTTF" w:hint="cs"/>
          <w:rtl/>
        </w:rPr>
        <w:t xml:space="preserve">; אולם מצוות ציצית, תפילין וספירת העומר אינן שייכות כלל בנשים [כי המצוות הללו הן בחינת </w:t>
      </w:r>
      <w:proofErr w:type="spellStart"/>
      <w:r>
        <w:rPr>
          <w:rFonts w:ascii="ResponsaTTF" w:hint="cs"/>
          <w:rtl/>
        </w:rPr>
        <w:t>דוכרא</w:t>
      </w:r>
      <w:proofErr w:type="spellEnd"/>
      <w:r>
        <w:rPr>
          <w:rFonts w:ascii="ResponsaTTF" w:hint="cs"/>
          <w:rtl/>
        </w:rPr>
        <w:t xml:space="preserve"> </w:t>
      </w:r>
      <w:r>
        <w:rPr>
          <w:rFonts w:ascii="ResponsaTTF"/>
          <w:rtl/>
        </w:rPr>
        <w:t>–</w:t>
      </w:r>
      <w:r>
        <w:rPr>
          <w:rFonts w:ascii="ResponsaTTF" w:hint="cs"/>
          <w:rtl/>
        </w:rPr>
        <w:t xml:space="preserve"> מצד הזכר], ואם אישה מקיימת אותן היא בבחינת "כל הפטור מהדבר ועושהו נקרא הדיוט", "וכל שכן שאין רשאיות לברך עליהם".</w:t>
      </w:r>
    </w:p>
    <w:p w:rsidR="00873083" w:rsidRDefault="00873083" w:rsidP="00873083">
      <w:pPr>
        <w:autoSpaceDE w:val="0"/>
        <w:autoSpaceDN w:val="0"/>
        <w:adjustRightInd w:val="0"/>
        <w:spacing w:line="360" w:lineRule="auto"/>
        <w:jc w:val="both"/>
        <w:rPr>
          <w:rFonts w:ascii="ResponsaTTF"/>
          <w:rtl/>
        </w:rPr>
      </w:pPr>
      <w:proofErr w:type="spellStart"/>
      <w:r>
        <w:rPr>
          <w:rFonts w:ascii="ResponsaTTF" w:hint="cs"/>
          <w:rtl/>
        </w:rPr>
        <w:t>החיד"א</w:t>
      </w:r>
      <w:proofErr w:type="spellEnd"/>
      <w:r>
        <w:rPr>
          <w:rFonts w:ascii="ResponsaTTF" w:hint="cs"/>
          <w:rtl/>
        </w:rPr>
        <w:t xml:space="preserve"> [פוסק ספרדי מהאחרונים] הביא שיש שערערו על הנשים שסופרות ספירת העומר, וכתב "</w:t>
      </w:r>
      <w:r w:rsidRPr="009C4D81">
        <w:rPr>
          <w:rFonts w:ascii="ResponsaTTF" w:hint="eastAsia"/>
          <w:rtl/>
        </w:rPr>
        <w:t>ולי</w:t>
      </w:r>
      <w:r w:rsidRPr="009C4D81">
        <w:rPr>
          <w:rFonts w:ascii="ResponsaTTF"/>
          <w:rtl/>
        </w:rPr>
        <w:t xml:space="preserve"> </w:t>
      </w:r>
      <w:r w:rsidRPr="009C4D81">
        <w:rPr>
          <w:rFonts w:ascii="ResponsaTTF" w:hint="eastAsia"/>
          <w:rtl/>
        </w:rPr>
        <w:t>נראה</w:t>
      </w:r>
      <w:r w:rsidRPr="009C4D81">
        <w:rPr>
          <w:rFonts w:ascii="ResponsaTTF"/>
          <w:rtl/>
        </w:rPr>
        <w:t xml:space="preserve"> </w:t>
      </w:r>
      <w:r w:rsidRPr="009C4D81">
        <w:rPr>
          <w:rFonts w:ascii="ResponsaTTF" w:hint="eastAsia"/>
          <w:rtl/>
        </w:rPr>
        <w:t>דאי</w:t>
      </w:r>
      <w:r w:rsidRPr="009C4D81">
        <w:rPr>
          <w:rFonts w:ascii="ResponsaTTF"/>
          <w:rtl/>
        </w:rPr>
        <w:t xml:space="preserve"> </w:t>
      </w:r>
      <w:r>
        <w:rPr>
          <w:rFonts w:ascii="ResponsaTTF" w:hint="cs"/>
          <w:rtl/>
        </w:rPr>
        <w:t xml:space="preserve">[שאם] </w:t>
      </w:r>
      <w:r w:rsidRPr="009C4D81">
        <w:rPr>
          <w:rFonts w:ascii="ResponsaTTF" w:hint="eastAsia"/>
          <w:rtl/>
        </w:rPr>
        <w:t>נוהגות</w:t>
      </w:r>
      <w:r w:rsidRPr="009C4D81">
        <w:rPr>
          <w:rFonts w:ascii="ResponsaTTF"/>
          <w:rtl/>
        </w:rPr>
        <w:t xml:space="preserve"> </w:t>
      </w:r>
      <w:r w:rsidRPr="009C4D81">
        <w:rPr>
          <w:rFonts w:ascii="ResponsaTTF" w:hint="eastAsia"/>
          <w:rtl/>
        </w:rPr>
        <w:t>בלולב</w:t>
      </w:r>
      <w:r w:rsidRPr="009C4D81">
        <w:rPr>
          <w:rFonts w:ascii="ResponsaTTF"/>
          <w:rtl/>
        </w:rPr>
        <w:t xml:space="preserve"> </w:t>
      </w:r>
      <w:r w:rsidRPr="009C4D81">
        <w:rPr>
          <w:rFonts w:ascii="ResponsaTTF" w:hint="eastAsia"/>
          <w:rtl/>
        </w:rPr>
        <w:t>וכיוצא</w:t>
      </w:r>
      <w:r w:rsidRPr="009C4D81">
        <w:rPr>
          <w:rFonts w:ascii="ResponsaTTF"/>
          <w:rtl/>
        </w:rPr>
        <w:t xml:space="preserve"> </w:t>
      </w:r>
      <w:r w:rsidRPr="009C4D81">
        <w:rPr>
          <w:rFonts w:ascii="ResponsaTTF" w:hint="eastAsia"/>
          <w:rtl/>
        </w:rPr>
        <w:t>כר</w:t>
      </w:r>
      <w:r>
        <w:rPr>
          <w:rFonts w:ascii="ResponsaTTF" w:hint="cs"/>
          <w:rtl/>
        </w:rPr>
        <w:t xml:space="preserve">בנו </w:t>
      </w:r>
      <w:r w:rsidRPr="009C4D81">
        <w:rPr>
          <w:rFonts w:ascii="ResponsaTTF" w:hint="eastAsia"/>
          <w:rtl/>
        </w:rPr>
        <w:t>ת</w:t>
      </w:r>
      <w:r>
        <w:rPr>
          <w:rFonts w:ascii="ResponsaTTF" w:hint="cs"/>
          <w:rtl/>
        </w:rPr>
        <w:t>ם,</w:t>
      </w:r>
      <w:r w:rsidRPr="009C4D81">
        <w:rPr>
          <w:rFonts w:ascii="ResponsaTTF"/>
          <w:rtl/>
        </w:rPr>
        <w:t xml:space="preserve"> </w:t>
      </w:r>
      <w:r w:rsidRPr="009C4D81">
        <w:rPr>
          <w:rFonts w:ascii="ResponsaTTF" w:hint="eastAsia"/>
          <w:rtl/>
        </w:rPr>
        <w:t>גם</w:t>
      </w:r>
      <w:r w:rsidRPr="009C4D81">
        <w:rPr>
          <w:rFonts w:ascii="ResponsaTTF"/>
          <w:rtl/>
        </w:rPr>
        <w:t xml:space="preserve"> </w:t>
      </w:r>
      <w:r w:rsidRPr="009C4D81">
        <w:rPr>
          <w:rFonts w:ascii="ResponsaTTF" w:hint="eastAsia"/>
          <w:rtl/>
        </w:rPr>
        <w:t>בספירה</w:t>
      </w:r>
      <w:r w:rsidRPr="009C4D81">
        <w:rPr>
          <w:rFonts w:ascii="ResponsaTTF"/>
          <w:rtl/>
        </w:rPr>
        <w:t xml:space="preserve"> </w:t>
      </w:r>
      <w:r w:rsidRPr="009C4D81">
        <w:rPr>
          <w:rFonts w:ascii="ResponsaTTF" w:hint="eastAsia"/>
          <w:rtl/>
        </w:rPr>
        <w:t>ינהגו</w:t>
      </w:r>
      <w:r w:rsidRPr="009C4D81">
        <w:rPr>
          <w:rFonts w:ascii="ResponsaTTF"/>
          <w:rtl/>
        </w:rPr>
        <w:t xml:space="preserve"> </w:t>
      </w:r>
      <w:r w:rsidRPr="009C4D81">
        <w:rPr>
          <w:rFonts w:ascii="ResponsaTTF" w:hint="eastAsia"/>
          <w:rtl/>
        </w:rPr>
        <w:t>כי</w:t>
      </w:r>
      <w:r w:rsidRPr="009C4D81">
        <w:rPr>
          <w:rFonts w:ascii="ResponsaTTF"/>
          <w:rtl/>
        </w:rPr>
        <w:t xml:space="preserve"> </w:t>
      </w:r>
      <w:proofErr w:type="spellStart"/>
      <w:r w:rsidRPr="009C4D81">
        <w:rPr>
          <w:rFonts w:ascii="ResponsaTTF" w:hint="eastAsia"/>
          <w:rtl/>
        </w:rPr>
        <w:t>אורחייהו</w:t>
      </w:r>
      <w:proofErr w:type="spellEnd"/>
      <w:r>
        <w:rPr>
          <w:rFonts w:ascii="ResponsaTTF" w:hint="cs"/>
          <w:rtl/>
        </w:rPr>
        <w:t xml:space="preserve"> [כמוהו]". </w:t>
      </w:r>
    </w:p>
    <w:p w:rsidR="00873083" w:rsidRDefault="00873083" w:rsidP="00873083">
      <w:pPr>
        <w:autoSpaceDE w:val="0"/>
        <w:autoSpaceDN w:val="0"/>
        <w:adjustRightInd w:val="0"/>
        <w:spacing w:line="360" w:lineRule="auto"/>
        <w:jc w:val="both"/>
        <w:rPr>
          <w:rFonts w:ascii="ResponsaTTF"/>
          <w:rtl/>
        </w:rPr>
      </w:pPr>
      <w:r>
        <w:rPr>
          <w:rFonts w:ascii="ResponsaTTF" w:hint="cs"/>
          <w:rtl/>
        </w:rPr>
        <w:t xml:space="preserve">הרמב"ן מונה [בקידושין לג ע"ב] את מצוות ספירת העומר ברשימת המצוות שאינן מצוות עשה שהזמן </w:t>
      </w:r>
      <w:proofErr w:type="spellStart"/>
      <w:r>
        <w:rPr>
          <w:rFonts w:ascii="ResponsaTTF" w:hint="cs"/>
          <w:rtl/>
        </w:rPr>
        <w:t>גרמא</w:t>
      </w:r>
      <w:proofErr w:type="spellEnd"/>
      <w:r>
        <w:rPr>
          <w:rFonts w:ascii="ResponsaTTF" w:hint="cs"/>
          <w:rtl/>
        </w:rPr>
        <w:t xml:space="preserve">. [בעיקר] אחרונים דנו ארוכות בשיטתו </w:t>
      </w:r>
      <w:r>
        <w:rPr>
          <w:rFonts w:ascii="ResponsaTTF"/>
          <w:rtl/>
        </w:rPr>
        <w:t>–</w:t>
      </w:r>
      <w:r>
        <w:rPr>
          <w:rFonts w:ascii="ResponsaTTF" w:hint="cs"/>
          <w:rtl/>
        </w:rPr>
        <w:t xml:space="preserve"> כיצד ניתן לראות במצווה שהיא לכאורה תלויה בזמן באופן מובהק </w:t>
      </w:r>
      <w:r>
        <w:rPr>
          <w:rFonts w:ascii="ResponsaTTF"/>
          <w:rtl/>
        </w:rPr>
        <w:t>–</w:t>
      </w:r>
      <w:r>
        <w:rPr>
          <w:rFonts w:ascii="ResponsaTTF" w:hint="cs"/>
          <w:rtl/>
        </w:rPr>
        <w:t xml:space="preserve"> מצווה שאינה תלויה בזמן. יש שהסבירו שמשום שמה שגורם לספירת העומר הוא מעשה הקרבת העומר </w:t>
      </w:r>
      <w:r>
        <w:rPr>
          <w:rFonts w:ascii="ResponsaTTF"/>
          <w:rtl/>
        </w:rPr>
        <w:t>–</w:t>
      </w:r>
      <w:r>
        <w:rPr>
          <w:rFonts w:ascii="ResponsaTTF" w:hint="cs"/>
          <w:rtl/>
        </w:rPr>
        <w:t xml:space="preserve"> הרי שאע"פ שמצוות העומר תלויה בזמן, הספירה עצמה תלויה במעשה ולא בזמן [</w:t>
      </w:r>
      <w:proofErr w:type="spellStart"/>
      <w:r>
        <w:rPr>
          <w:rFonts w:ascii="ResponsaTTF" w:hint="cs"/>
          <w:rtl/>
        </w:rPr>
        <w:t>מהר"ם</w:t>
      </w:r>
      <w:proofErr w:type="spellEnd"/>
      <w:r>
        <w:rPr>
          <w:rFonts w:ascii="ResponsaTTF" w:hint="cs"/>
          <w:rtl/>
        </w:rPr>
        <w:t xml:space="preserve"> </w:t>
      </w:r>
      <w:proofErr w:type="spellStart"/>
      <w:r>
        <w:rPr>
          <w:rFonts w:ascii="ResponsaTTF" w:hint="cs"/>
          <w:rtl/>
        </w:rPr>
        <w:t>חלוואה</w:t>
      </w:r>
      <w:proofErr w:type="spellEnd"/>
      <w:r>
        <w:rPr>
          <w:rFonts w:ascii="ResponsaTTF" w:hint="cs"/>
          <w:rtl/>
        </w:rPr>
        <w:t xml:space="preserve">, הרב </w:t>
      </w:r>
      <w:proofErr w:type="spellStart"/>
      <w:r>
        <w:rPr>
          <w:rFonts w:ascii="ResponsaTTF" w:hint="cs"/>
          <w:rtl/>
        </w:rPr>
        <w:t>פראנק</w:t>
      </w:r>
      <w:proofErr w:type="spellEnd"/>
      <w:r>
        <w:rPr>
          <w:rFonts w:ascii="ResponsaTTF" w:hint="cs"/>
          <w:rtl/>
        </w:rPr>
        <w:t xml:space="preserve">]. </w:t>
      </w:r>
    </w:p>
    <w:p w:rsidR="00873083" w:rsidRDefault="00873083" w:rsidP="00873083">
      <w:pPr>
        <w:autoSpaceDE w:val="0"/>
        <w:autoSpaceDN w:val="0"/>
        <w:adjustRightInd w:val="0"/>
        <w:spacing w:line="360" w:lineRule="auto"/>
        <w:jc w:val="both"/>
        <w:rPr>
          <w:rFonts w:ascii="ResponsaTTF"/>
          <w:rtl/>
        </w:rPr>
      </w:pPr>
      <w:r>
        <w:rPr>
          <w:rFonts w:ascii="ResponsaTTF" w:hint="cs"/>
          <w:rtl/>
        </w:rPr>
        <w:t xml:space="preserve">באבני נזר הסביר שהואיל וספירת העומר היא ממחרת השבת, כלומר מתחילה במוצאי יו"ט של פסח, וזמנה תלוי בפסח </w:t>
      </w:r>
      <w:r>
        <w:rPr>
          <w:rFonts w:ascii="ResponsaTTF"/>
          <w:rtl/>
        </w:rPr>
        <w:t>–</w:t>
      </w:r>
      <w:r>
        <w:rPr>
          <w:rFonts w:ascii="ResponsaTTF" w:hint="cs"/>
          <w:rtl/>
        </w:rPr>
        <w:t xml:space="preserve"> אם כן כמו שבכל מצוות הפסח אישה מחויבת בהן היא מחויבת גם בספירה. </w:t>
      </w:r>
    </w:p>
    <w:p w:rsidR="00873083" w:rsidRDefault="00873083" w:rsidP="00873083">
      <w:pPr>
        <w:autoSpaceDE w:val="0"/>
        <w:autoSpaceDN w:val="0"/>
        <w:adjustRightInd w:val="0"/>
        <w:spacing w:line="360" w:lineRule="auto"/>
        <w:jc w:val="both"/>
        <w:rPr>
          <w:rFonts w:ascii="ResponsaTTF"/>
          <w:rtl/>
        </w:rPr>
      </w:pPr>
      <w:proofErr w:type="spellStart"/>
      <w:r>
        <w:rPr>
          <w:rFonts w:ascii="ResponsaTTF" w:hint="cs"/>
          <w:rtl/>
        </w:rPr>
        <w:t>השרידי</w:t>
      </w:r>
      <w:proofErr w:type="spellEnd"/>
      <w:r>
        <w:rPr>
          <w:rFonts w:ascii="ResponsaTTF" w:hint="cs"/>
          <w:rtl/>
        </w:rPr>
        <w:t xml:space="preserve"> אש חילק בין מצוות שהזמן </w:t>
      </w:r>
      <w:proofErr w:type="spellStart"/>
      <w:r>
        <w:rPr>
          <w:rFonts w:ascii="ResponsaTTF" w:hint="cs"/>
          <w:rtl/>
        </w:rPr>
        <w:t>גרמא</w:t>
      </w:r>
      <w:proofErr w:type="spellEnd"/>
      <w:r>
        <w:rPr>
          <w:rFonts w:ascii="ResponsaTTF" w:hint="cs"/>
          <w:rtl/>
        </w:rPr>
        <w:t xml:space="preserve"> שאופיין הוא שיש מצווה מעשית התלויה בזמן קבוע, והזמן הוא המסגרת לקיום המצווה [כמו סוכה, לולב וכו'] ובין מצוות ספירת העומר "שהזמן הוא עצמותו של המצווה", ועל זה אי אפשר לומר שהזמן </w:t>
      </w:r>
      <w:proofErr w:type="spellStart"/>
      <w:r>
        <w:rPr>
          <w:rFonts w:ascii="ResponsaTTF" w:hint="cs"/>
          <w:rtl/>
        </w:rPr>
        <w:t>גרמא</w:t>
      </w:r>
      <w:proofErr w:type="spellEnd"/>
      <w:r>
        <w:rPr>
          <w:rFonts w:ascii="ResponsaTTF" w:hint="cs"/>
          <w:rtl/>
        </w:rPr>
        <w:t>.</w:t>
      </w:r>
    </w:p>
    <w:p w:rsidR="00873083" w:rsidRDefault="00873083" w:rsidP="00873083">
      <w:pPr>
        <w:autoSpaceDE w:val="0"/>
        <w:autoSpaceDN w:val="0"/>
        <w:adjustRightInd w:val="0"/>
        <w:spacing w:line="360" w:lineRule="auto"/>
        <w:jc w:val="both"/>
        <w:rPr>
          <w:rFonts w:ascii="ResponsaTTF"/>
          <w:rtl/>
        </w:rPr>
      </w:pPr>
      <w:r>
        <w:rPr>
          <w:rFonts w:ascii="ResponsaTTF" w:hint="cs"/>
          <w:rtl/>
        </w:rPr>
        <w:t xml:space="preserve">מעניין להזכיר את מה שכתב </w:t>
      </w:r>
      <w:proofErr w:type="spellStart"/>
      <w:r>
        <w:rPr>
          <w:rFonts w:ascii="ResponsaTTF" w:hint="cs"/>
          <w:rtl/>
        </w:rPr>
        <w:t>הדברי</w:t>
      </w:r>
      <w:proofErr w:type="spellEnd"/>
      <w:r>
        <w:rPr>
          <w:rFonts w:ascii="ResponsaTTF" w:hint="cs"/>
          <w:rtl/>
        </w:rPr>
        <w:t xml:space="preserve"> מלכיאל, שכל פלפולי האחרונים והסבריהם לשיטת הרמב"ן מיותרים, כי ברור לו שההבנה בדברי הרמב"ן מקורה בטעות סופר. כלומר שמה שהיה כתוב אצל הרמב"ן הוא '</w:t>
      </w:r>
      <w:proofErr w:type="spellStart"/>
      <w:r>
        <w:rPr>
          <w:rFonts w:ascii="ResponsaTTF" w:hint="cs"/>
          <w:rtl/>
        </w:rPr>
        <w:t>סה"ע</w:t>
      </w:r>
      <w:proofErr w:type="spellEnd"/>
      <w:r>
        <w:rPr>
          <w:rFonts w:ascii="ResponsaTTF" w:hint="cs"/>
          <w:rtl/>
        </w:rPr>
        <w:t xml:space="preserve">' </w:t>
      </w:r>
      <w:r>
        <w:rPr>
          <w:rFonts w:ascii="ResponsaTTF"/>
          <w:rtl/>
        </w:rPr>
        <w:t>–</w:t>
      </w:r>
      <w:r>
        <w:rPr>
          <w:rFonts w:ascii="ResponsaTTF" w:hint="cs"/>
          <w:rtl/>
        </w:rPr>
        <w:t xml:space="preserve"> בראשי תיבות, והמהדירים והמעתיקים פתחו את ראשי התיבות באופן לא הגיוני וכתבו ספירת העומר, אולם למעשה הרמב"ן התכוון ל'סדר העבודה' </w:t>
      </w:r>
      <w:r>
        <w:rPr>
          <w:rFonts w:ascii="ResponsaTTF"/>
          <w:rtl/>
        </w:rPr>
        <w:t>–</w:t>
      </w:r>
      <w:r>
        <w:rPr>
          <w:rFonts w:ascii="ResponsaTTF" w:hint="cs"/>
          <w:rtl/>
        </w:rPr>
        <w:t xml:space="preserve"> שנשים חייבות בקרבנות; או שהיה כתוב </w:t>
      </w:r>
      <w:proofErr w:type="spellStart"/>
      <w:r>
        <w:rPr>
          <w:rFonts w:ascii="ResponsaTTF" w:hint="cs"/>
          <w:rtl/>
        </w:rPr>
        <w:t>מת"ע</w:t>
      </w:r>
      <w:proofErr w:type="spellEnd"/>
      <w:r>
        <w:rPr>
          <w:rFonts w:ascii="ResponsaTTF" w:hint="cs"/>
          <w:rtl/>
        </w:rPr>
        <w:t xml:space="preserve"> [=מתנות עניים] והתחלפה למעתיק מ"ם בסמ"ך. </w:t>
      </w:r>
    </w:p>
    <w:p w:rsidR="00873083" w:rsidRDefault="00873083" w:rsidP="00873083">
      <w:pPr>
        <w:autoSpaceDE w:val="0"/>
        <w:autoSpaceDN w:val="0"/>
        <w:adjustRightInd w:val="0"/>
        <w:spacing w:line="360" w:lineRule="auto"/>
        <w:jc w:val="both"/>
        <w:rPr>
          <w:rFonts w:ascii="ResponsaTTF"/>
          <w:rtl/>
        </w:rPr>
      </w:pPr>
      <w:r>
        <w:rPr>
          <w:rFonts w:ascii="ResponsaTTF" w:hint="cs"/>
          <w:rtl/>
        </w:rPr>
        <w:t>משאירה לכן לבדוק בכתבי היד של הרמב"ן מה באמת היה כתוב אצלו.</w:t>
      </w:r>
    </w:p>
    <w:p w:rsidR="00873083" w:rsidRDefault="00873083" w:rsidP="00873083">
      <w:pPr>
        <w:autoSpaceDE w:val="0"/>
        <w:autoSpaceDN w:val="0"/>
        <w:adjustRightInd w:val="0"/>
        <w:spacing w:line="360" w:lineRule="auto"/>
        <w:jc w:val="both"/>
        <w:rPr>
          <w:rFonts w:ascii="ResponsaTTF"/>
          <w:rtl/>
        </w:rPr>
      </w:pPr>
    </w:p>
    <w:p w:rsidR="00873083" w:rsidRDefault="00873083" w:rsidP="00873083">
      <w:pPr>
        <w:autoSpaceDE w:val="0"/>
        <w:autoSpaceDN w:val="0"/>
        <w:adjustRightInd w:val="0"/>
        <w:spacing w:line="360" w:lineRule="auto"/>
        <w:jc w:val="both"/>
        <w:rPr>
          <w:rFonts w:hint="cs"/>
          <w:rtl/>
        </w:rPr>
      </w:pPr>
      <w:r>
        <w:rPr>
          <w:rFonts w:hint="cs"/>
          <w:rtl/>
        </w:rPr>
        <w:t xml:space="preserve">כך או כך כל אישה תנהג כמנהג ביתה: סופרת עם/בלי ברכה או שאינה סופרת, ולוואי שנזכה להגיע ראויות ליום הגבוה של מתן תורה. </w:t>
      </w:r>
    </w:p>
    <w:p w:rsidR="00873083" w:rsidRPr="0066401A" w:rsidRDefault="00873083" w:rsidP="00873083">
      <w:pPr>
        <w:autoSpaceDE w:val="0"/>
        <w:autoSpaceDN w:val="0"/>
        <w:adjustRightInd w:val="0"/>
        <w:spacing w:line="360" w:lineRule="auto"/>
        <w:jc w:val="center"/>
        <w:rPr>
          <w:rFonts w:ascii="ResponsaTTF" w:hint="cs"/>
          <w:b/>
          <w:bCs/>
          <w:rtl/>
        </w:rPr>
      </w:pPr>
    </w:p>
    <w:p w:rsidR="007D38E6" w:rsidRPr="000D260F" w:rsidRDefault="007D38E6" w:rsidP="007D38E6">
      <w:pPr>
        <w:rPr>
          <w:rFonts w:ascii="Gisha" w:hAnsi="Gisha" w:cs="Gisha"/>
          <w:sz w:val="48"/>
          <w:szCs w:val="48"/>
          <w:rtl/>
        </w:rPr>
      </w:pPr>
    </w:p>
    <w:sectPr w:rsidR="007D38E6" w:rsidRPr="000D260F"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73083"/>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A484D"/>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3099</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זהבית פריד</cp:lastModifiedBy>
  <cp:revision>2</cp:revision>
  <cp:lastPrinted>2018-02-06T09:41:00Z</cp:lastPrinted>
  <dcterms:created xsi:type="dcterms:W3CDTF">2020-05-03T09:04:00Z</dcterms:created>
  <dcterms:modified xsi:type="dcterms:W3CDTF">2020-05-03T09:04:00Z</dcterms:modified>
</cp:coreProperties>
</file>