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9E" w:rsidRDefault="00355BCA">
      <w:r>
        <w:rPr>
          <w:noProof/>
        </w:rPr>
        <mc:AlternateContent>
          <mc:Choice Requires="wps">
            <w:drawing>
              <wp:anchor distT="0" distB="0" distL="114300" distR="114300" simplePos="0" relativeHeight="251660288" behindDoc="0" locked="0" layoutInCell="1" allowOverlap="1" wp14:anchorId="3C5ACD2A" wp14:editId="027DA046">
                <wp:simplePos x="0" y="0"/>
                <wp:positionH relativeFrom="column">
                  <wp:posOffset>409575</wp:posOffset>
                </wp:positionH>
                <wp:positionV relativeFrom="paragraph">
                  <wp:posOffset>428625</wp:posOffset>
                </wp:positionV>
                <wp:extent cx="6724650" cy="9829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24650" cy="9829800"/>
                        </a:xfrm>
                        <a:prstGeom prst="rect">
                          <a:avLst/>
                        </a:prstGeom>
                        <a:noFill/>
                        <a:ln w="6350">
                          <a:noFill/>
                        </a:ln>
                      </wps:spPr>
                      <wps:txbx>
                        <w:txbxContent>
                          <w:p w:rsidR="00355BCA" w:rsidRDefault="00355BCA" w:rsidP="00355BCA">
                            <w:pPr>
                              <w:rPr>
                                <w:rFonts w:ascii="Calibri" w:hAnsi="Calibri" w:hint="cs"/>
                                <w:color w:val="000000"/>
                                <w:sz w:val="28"/>
                                <w:szCs w:val="28"/>
                                <w:rtl/>
                              </w:rPr>
                            </w:pPr>
                          </w:p>
                          <w:p w:rsidR="00355BCA" w:rsidRDefault="00355BCA" w:rsidP="00355BCA">
                            <w:pPr>
                              <w:rPr>
                                <w:rFonts w:ascii="Calibri" w:hAnsi="Calibri"/>
                                <w:color w:val="000000"/>
                                <w:sz w:val="28"/>
                                <w:szCs w:val="28"/>
                              </w:rPr>
                            </w:pPr>
                            <w:r>
                              <w:rPr>
                                <w:rFonts w:ascii="Calibri" w:hAnsi="Calibri"/>
                                <w:color w:val="000000"/>
                                <w:sz w:val="28"/>
                                <w:szCs w:val="28"/>
                                <w:rtl/>
                              </w:rPr>
                              <w:t xml:space="preserve">בס"ד, </w:t>
                            </w:r>
                            <w:r>
                              <w:rPr>
                                <w:rFonts w:ascii="Calibri" w:hAnsi="Calibri" w:hint="cs"/>
                                <w:color w:val="000000"/>
                                <w:sz w:val="28"/>
                                <w:szCs w:val="28"/>
                                <w:rtl/>
                              </w:rPr>
                              <w:t>כסלו</w:t>
                            </w:r>
                            <w:r>
                              <w:rPr>
                                <w:rFonts w:ascii="Calibri" w:hAnsi="Calibri"/>
                                <w:color w:val="000000"/>
                                <w:sz w:val="28"/>
                                <w:szCs w:val="28"/>
                                <w:rtl/>
                              </w:rPr>
                              <w:t xml:space="preserve"> תשע"</w:t>
                            </w:r>
                            <w:r>
                              <w:rPr>
                                <w:rFonts w:ascii="Calibri" w:hAnsi="Calibri" w:hint="cs"/>
                                <w:color w:val="000000"/>
                                <w:sz w:val="28"/>
                                <w:szCs w:val="28"/>
                                <w:rtl/>
                              </w:rPr>
                              <w:t>ט</w:t>
                            </w:r>
                          </w:p>
                          <w:p w:rsidR="00355BCA" w:rsidRDefault="00355BCA" w:rsidP="00355BCA">
                            <w:pPr>
                              <w:rPr>
                                <w:rFonts w:ascii="Calibri" w:hAnsi="Calibri"/>
                                <w:color w:val="000000"/>
                                <w:sz w:val="28"/>
                                <w:szCs w:val="28"/>
                              </w:rPr>
                            </w:pPr>
                          </w:p>
                          <w:p w:rsidR="00355BCA" w:rsidRDefault="00355BCA" w:rsidP="00355BCA">
                            <w:pPr>
                              <w:rPr>
                                <w:rFonts w:ascii="Calibri" w:hAnsi="Calibri"/>
                                <w:color w:val="000000"/>
                                <w:sz w:val="28"/>
                                <w:szCs w:val="28"/>
                                <w:rtl/>
                              </w:rPr>
                            </w:pPr>
                          </w:p>
                          <w:p w:rsidR="00355BCA" w:rsidRDefault="00355BCA" w:rsidP="00355BCA">
                            <w:pPr>
                              <w:pStyle w:val="D11"/>
                              <w:rPr>
                                <w:rtl/>
                              </w:rPr>
                            </w:pPr>
                            <w:bookmarkStart w:id="0" w:name="_GoBack"/>
                          </w:p>
                          <w:bookmarkEnd w:id="0"/>
                          <w:p w:rsidR="00355BCA" w:rsidRDefault="00355BCA" w:rsidP="00355BCA">
                            <w:pPr>
                              <w:pStyle w:val="D11"/>
                              <w:jc w:val="center"/>
                              <w:rPr>
                                <w:rFonts w:ascii="Calibri" w:hAnsi="Calibri" w:hint="cs"/>
                                <w:b/>
                                <w:bCs/>
                                <w:color w:val="000000"/>
                                <w:sz w:val="40"/>
                                <w:szCs w:val="40"/>
                                <w:rtl/>
                              </w:rPr>
                            </w:pPr>
                          </w:p>
                          <w:p w:rsidR="00355BCA" w:rsidRDefault="00355BCA" w:rsidP="00355BCA">
                            <w:pPr>
                              <w:pStyle w:val="D11"/>
                              <w:jc w:val="center"/>
                              <w:rPr>
                                <w:rFonts w:ascii="Calibri" w:hAnsi="Calibri"/>
                                <w:b/>
                                <w:bCs/>
                                <w:color w:val="000000"/>
                                <w:sz w:val="28"/>
                                <w:szCs w:val="28"/>
                                <w:rtl/>
                              </w:rPr>
                            </w:pPr>
                            <w:r w:rsidRPr="00A13712">
                              <w:rPr>
                                <w:rFonts w:ascii="Calibri" w:hAnsi="Calibri"/>
                                <w:b/>
                                <w:bCs/>
                                <w:color w:val="000000"/>
                                <w:sz w:val="40"/>
                                <w:szCs w:val="40"/>
                                <w:rtl/>
                              </w:rPr>
                              <w:t>דבר תורה לפרשת</w:t>
                            </w:r>
                            <w:r>
                              <w:rPr>
                                <w:rFonts w:hint="cs"/>
                                <w:rtl/>
                              </w:rPr>
                              <w:t xml:space="preserve"> </w:t>
                            </w:r>
                            <w:r>
                              <w:rPr>
                                <w:rFonts w:ascii="Calibri" w:hAnsi="Calibri" w:hint="cs"/>
                                <w:b/>
                                <w:bCs/>
                                <w:color w:val="000000"/>
                                <w:sz w:val="40"/>
                                <w:szCs w:val="40"/>
                                <w:rtl/>
                              </w:rPr>
                              <w:t xml:space="preserve"> </w:t>
                            </w:r>
                            <w:r w:rsidRPr="003D0735">
                              <w:rPr>
                                <w:rFonts w:ascii="Calibri" w:hAnsi="Calibri" w:hint="cs"/>
                                <w:b/>
                                <w:bCs/>
                                <w:color w:val="000000"/>
                                <w:sz w:val="40"/>
                                <w:szCs w:val="40"/>
                                <w:rtl/>
                              </w:rPr>
                              <w:t>מקץ</w:t>
                            </w:r>
                            <w:r>
                              <w:rPr>
                                <w:rFonts w:ascii="Calibri" w:hAnsi="Calibri" w:hint="cs"/>
                                <w:b/>
                                <w:bCs/>
                                <w:color w:val="000000"/>
                                <w:sz w:val="28"/>
                                <w:szCs w:val="28"/>
                                <w:rtl/>
                              </w:rPr>
                              <w:t xml:space="preserve"> </w:t>
                            </w:r>
                            <w:r w:rsidRPr="003D0735">
                              <w:rPr>
                                <w:rFonts w:ascii="Calibri" w:hAnsi="Calibri" w:hint="cs"/>
                                <w:b/>
                                <w:bCs/>
                                <w:color w:val="000000"/>
                                <w:sz w:val="40"/>
                                <w:szCs w:val="40"/>
                                <w:rtl/>
                              </w:rPr>
                              <w:t>מאת הרב ישר</w:t>
                            </w:r>
                            <w:r>
                              <w:rPr>
                                <w:rFonts w:ascii="Calibri" w:hAnsi="Calibri" w:hint="cs"/>
                                <w:b/>
                                <w:bCs/>
                                <w:color w:val="000000"/>
                                <w:sz w:val="40"/>
                                <w:szCs w:val="40"/>
                                <w:rtl/>
                              </w:rPr>
                              <w:t>א</w:t>
                            </w:r>
                            <w:r w:rsidRPr="003D0735">
                              <w:rPr>
                                <w:rFonts w:ascii="Calibri" w:hAnsi="Calibri" w:hint="cs"/>
                                <w:b/>
                                <w:bCs/>
                                <w:color w:val="000000"/>
                                <w:sz w:val="40"/>
                                <w:szCs w:val="40"/>
                                <w:rtl/>
                              </w:rPr>
                              <w:t>ל סמט</w:t>
                            </w:r>
                          </w:p>
                          <w:p w:rsidR="00355BCA" w:rsidRDefault="00355BCA" w:rsidP="00355BCA">
                            <w:pPr>
                              <w:pStyle w:val="D11"/>
                              <w:jc w:val="center"/>
                              <w:rPr>
                                <w:rFonts w:ascii="Calibri" w:hAnsi="Calibri" w:hint="cs"/>
                                <w:b/>
                                <w:bCs/>
                                <w:color w:val="000000"/>
                                <w:sz w:val="32"/>
                                <w:szCs w:val="32"/>
                                <w:u w:val="single"/>
                                <w:rtl/>
                              </w:rPr>
                            </w:pPr>
                            <w:r w:rsidRPr="003D0735">
                              <w:rPr>
                                <w:rFonts w:ascii="Calibri" w:hAnsi="Calibri" w:hint="cs"/>
                                <w:b/>
                                <w:bCs/>
                                <w:color w:val="000000"/>
                                <w:sz w:val="32"/>
                                <w:szCs w:val="32"/>
                                <w:u w:val="single"/>
                                <w:rtl/>
                              </w:rPr>
                              <w:t xml:space="preserve">גבוה - נמוך </w:t>
                            </w:r>
                            <w:r>
                              <w:rPr>
                                <w:rFonts w:ascii="Calibri" w:hAnsi="Calibri"/>
                                <w:b/>
                                <w:bCs/>
                                <w:color w:val="000000"/>
                                <w:sz w:val="32"/>
                                <w:szCs w:val="32"/>
                                <w:u w:val="single"/>
                                <w:rtl/>
                              </w:rPr>
                              <w:t>–</w:t>
                            </w:r>
                            <w:r w:rsidRPr="003D0735">
                              <w:rPr>
                                <w:rFonts w:ascii="Calibri" w:hAnsi="Calibri" w:hint="cs"/>
                                <w:b/>
                                <w:bCs/>
                                <w:color w:val="000000"/>
                                <w:sz w:val="32"/>
                                <w:szCs w:val="32"/>
                                <w:u w:val="single"/>
                                <w:rtl/>
                              </w:rPr>
                              <w:t xml:space="preserve"> גבוה</w:t>
                            </w:r>
                          </w:p>
                          <w:p w:rsidR="00355BCA" w:rsidRDefault="00355BCA" w:rsidP="00355BCA">
                            <w:pPr>
                              <w:pStyle w:val="D11"/>
                              <w:jc w:val="center"/>
                              <w:rPr>
                                <w:rFonts w:ascii="Calibri" w:hAnsi="Calibri" w:hint="cs"/>
                                <w:b/>
                                <w:bCs/>
                                <w:color w:val="000000"/>
                                <w:sz w:val="32"/>
                                <w:szCs w:val="32"/>
                                <w:u w:val="single"/>
                                <w:rtl/>
                              </w:rPr>
                            </w:pPr>
                          </w:p>
                          <w:p w:rsidR="00355BCA" w:rsidRPr="003D0735" w:rsidRDefault="00355BCA" w:rsidP="00355BCA">
                            <w:pPr>
                              <w:pStyle w:val="D11"/>
                              <w:jc w:val="center"/>
                              <w:rPr>
                                <w:rFonts w:ascii="Calibri" w:hAnsi="Calibri"/>
                                <w:b/>
                                <w:bCs/>
                                <w:color w:val="000000"/>
                                <w:sz w:val="32"/>
                                <w:szCs w:val="32"/>
                                <w:u w:val="single"/>
                                <w:rtl/>
                              </w:rPr>
                            </w:pPr>
                          </w:p>
                          <w:p w:rsidR="00355BCA" w:rsidRDefault="00355BCA" w:rsidP="00355BCA">
                            <w:pPr>
                              <w:pStyle w:val="D11"/>
                              <w:rPr>
                                <w:rtl/>
                              </w:rPr>
                            </w:pPr>
                          </w:p>
                          <w:p w:rsidR="00355BCA" w:rsidRPr="002D7BCD" w:rsidRDefault="00355BCA" w:rsidP="00355BCA">
                            <w:pPr>
                              <w:pStyle w:val="D11"/>
                              <w:rPr>
                                <w:sz w:val="24"/>
                                <w:szCs w:val="24"/>
                                <w:rtl/>
                              </w:rPr>
                            </w:pPr>
                            <w:r w:rsidRPr="002D7BCD">
                              <w:rPr>
                                <w:rFonts w:hint="cs"/>
                                <w:sz w:val="24"/>
                                <w:szCs w:val="24"/>
                                <w:rtl/>
                              </w:rPr>
                              <w:t xml:space="preserve">פרדריק אוגוסט </w:t>
                            </w:r>
                            <w:proofErr w:type="spellStart"/>
                            <w:r w:rsidRPr="002D7BCD">
                              <w:rPr>
                                <w:rFonts w:hint="cs"/>
                                <w:sz w:val="24"/>
                                <w:szCs w:val="24"/>
                                <w:rtl/>
                              </w:rPr>
                              <w:t>ברתולדי</w:t>
                            </w:r>
                            <w:proofErr w:type="spellEnd"/>
                            <w:r w:rsidRPr="002D7BCD">
                              <w:rPr>
                                <w:rFonts w:hint="cs"/>
                                <w:sz w:val="24"/>
                                <w:szCs w:val="24"/>
                                <w:rtl/>
                              </w:rPr>
                              <w:t xml:space="preserve">, יוצר פסל החירות המוצב בניו-יורק, בחר לסמל את החירות על ידי </w:t>
                            </w:r>
                            <w:proofErr w:type="spellStart"/>
                            <w:r w:rsidRPr="002D7BCD">
                              <w:rPr>
                                <w:rFonts w:hint="cs"/>
                                <w:sz w:val="24"/>
                                <w:szCs w:val="24"/>
                                <w:rtl/>
                              </w:rPr>
                              <w:t>אשה</w:t>
                            </w:r>
                            <w:proofErr w:type="spellEnd"/>
                            <w:r w:rsidRPr="002D7BCD">
                              <w:rPr>
                                <w:rFonts w:hint="cs"/>
                                <w:sz w:val="24"/>
                                <w:szCs w:val="24"/>
                                <w:rtl/>
                              </w:rPr>
                              <w:t xml:space="preserve"> שאוחזת בלפיד בידה הימנית המורמת אל על. הסיבה להרמת היד פשוטה: כשרוצים להאיר למרחק, צריך להגביה את מקור האור. </w:t>
                            </w:r>
                          </w:p>
                          <w:p w:rsidR="00355BCA" w:rsidRPr="002D7BCD" w:rsidRDefault="00355BCA" w:rsidP="00355BCA">
                            <w:pPr>
                              <w:pStyle w:val="D11"/>
                              <w:rPr>
                                <w:sz w:val="24"/>
                                <w:szCs w:val="24"/>
                                <w:rtl/>
                              </w:rPr>
                            </w:pPr>
                            <w:r w:rsidRPr="002D7BCD">
                              <w:rPr>
                                <w:rFonts w:hint="cs"/>
                                <w:sz w:val="24"/>
                                <w:szCs w:val="24"/>
                                <w:rtl/>
                              </w:rPr>
                              <w:t xml:space="preserve">על כן תמוהה ההלכה שאמר </w:t>
                            </w:r>
                            <w:proofErr w:type="spellStart"/>
                            <w:r w:rsidRPr="002D7BCD">
                              <w:rPr>
                                <w:rFonts w:hint="cs"/>
                                <w:sz w:val="24"/>
                                <w:szCs w:val="24"/>
                                <w:rtl/>
                              </w:rPr>
                              <w:t>רבינא</w:t>
                            </w:r>
                            <w:proofErr w:type="spellEnd"/>
                            <w:r w:rsidRPr="002D7BCD">
                              <w:rPr>
                                <w:rFonts w:hint="cs"/>
                                <w:sz w:val="24"/>
                                <w:szCs w:val="24"/>
                                <w:rtl/>
                              </w:rPr>
                              <w:t xml:space="preserve"> (בבלי שבת </w:t>
                            </w:r>
                            <w:proofErr w:type="spellStart"/>
                            <w:r w:rsidRPr="002D7BCD">
                              <w:rPr>
                                <w:rFonts w:hint="cs"/>
                                <w:sz w:val="24"/>
                                <w:szCs w:val="24"/>
                                <w:rtl/>
                              </w:rPr>
                              <w:t>כא,ב</w:t>
                            </w:r>
                            <w:proofErr w:type="spellEnd"/>
                            <w:r w:rsidRPr="002D7BCD">
                              <w:rPr>
                                <w:rFonts w:hint="cs"/>
                                <w:sz w:val="24"/>
                                <w:szCs w:val="24"/>
                                <w:rtl/>
                              </w:rPr>
                              <w:t>): "</w:t>
                            </w:r>
                            <w:r w:rsidRPr="002D7BCD">
                              <w:rPr>
                                <w:sz w:val="24"/>
                                <w:szCs w:val="24"/>
                                <w:rtl/>
                              </w:rPr>
                              <w:t>נר חנוכה מצוה להניחה בתוך עשרה</w:t>
                            </w:r>
                            <w:r w:rsidRPr="002D7BCD">
                              <w:rPr>
                                <w:rFonts w:hint="cs"/>
                                <w:sz w:val="24"/>
                                <w:szCs w:val="24"/>
                                <w:rtl/>
                              </w:rPr>
                              <w:t xml:space="preserve">" (טפחים, וכך נפסק </w:t>
                            </w:r>
                            <w:proofErr w:type="spellStart"/>
                            <w:r w:rsidRPr="002D7BCD">
                              <w:rPr>
                                <w:rFonts w:hint="cs"/>
                                <w:sz w:val="24"/>
                                <w:szCs w:val="24"/>
                                <w:rtl/>
                              </w:rPr>
                              <w:t>בשו"ע</w:t>
                            </w:r>
                            <w:proofErr w:type="spellEnd"/>
                            <w:r w:rsidRPr="002D7BCD">
                              <w:rPr>
                                <w:rFonts w:hint="cs"/>
                                <w:sz w:val="24"/>
                                <w:szCs w:val="24"/>
                                <w:rtl/>
                              </w:rPr>
                              <w:t xml:space="preserve"> תרע"א ,ו). בחג שבו מפרסמים את הנס, ראוי היה להגביה את האור ולהאיר לכל עבר!</w:t>
                            </w:r>
                          </w:p>
                          <w:p w:rsidR="00355BCA" w:rsidRPr="002D7BCD" w:rsidRDefault="00355BCA" w:rsidP="00355BCA">
                            <w:pPr>
                              <w:pStyle w:val="D11"/>
                              <w:rPr>
                                <w:sz w:val="24"/>
                                <w:szCs w:val="24"/>
                                <w:rtl/>
                              </w:rPr>
                            </w:pPr>
                            <w:r w:rsidRPr="002D7BCD">
                              <w:rPr>
                                <w:rFonts w:hint="cs"/>
                                <w:sz w:val="24"/>
                                <w:szCs w:val="24"/>
                                <w:rtl/>
                              </w:rPr>
                              <w:t>מדוע אם כן מצוה להניח את הנר בתוך עשרה טפחים?</w:t>
                            </w:r>
                          </w:p>
                          <w:p w:rsidR="00355BCA" w:rsidRPr="002D7BCD" w:rsidRDefault="00355BCA" w:rsidP="00355BCA">
                            <w:pPr>
                              <w:pStyle w:val="D11"/>
                              <w:rPr>
                                <w:sz w:val="24"/>
                                <w:szCs w:val="24"/>
                                <w:rtl/>
                              </w:rPr>
                            </w:pPr>
                            <w:r w:rsidRPr="002D7BCD">
                              <w:rPr>
                                <w:rFonts w:hint="cs"/>
                                <w:sz w:val="24"/>
                                <w:szCs w:val="24"/>
                                <w:rtl/>
                              </w:rPr>
                              <w:t xml:space="preserve">תשובה אפשרית נובעת מכך </w:t>
                            </w:r>
                            <w:proofErr w:type="spellStart"/>
                            <w:r w:rsidRPr="002D7BCD">
                              <w:rPr>
                                <w:rFonts w:hint="cs"/>
                                <w:sz w:val="24"/>
                                <w:szCs w:val="24"/>
                                <w:rtl/>
                              </w:rPr>
                              <w:t>שמצוה</w:t>
                            </w:r>
                            <w:proofErr w:type="spellEnd"/>
                            <w:r w:rsidRPr="002D7BCD">
                              <w:rPr>
                                <w:rFonts w:hint="cs"/>
                                <w:sz w:val="24"/>
                                <w:szCs w:val="24"/>
                                <w:rtl/>
                              </w:rPr>
                              <w:t xml:space="preserve"> להניח את נר החנוכה על פתח ביתו מבחוץ </w:t>
                            </w:r>
                            <w:r w:rsidRPr="002D7BCD">
                              <w:rPr>
                                <w:sz w:val="24"/>
                                <w:szCs w:val="24"/>
                                <w:rtl/>
                              </w:rPr>
                              <w:t>–</w:t>
                            </w:r>
                            <w:r w:rsidRPr="002D7BCD">
                              <w:rPr>
                                <w:rFonts w:hint="cs"/>
                                <w:sz w:val="24"/>
                                <w:szCs w:val="24"/>
                                <w:rtl/>
                              </w:rPr>
                              <w:t xml:space="preserve"> כלומר ברשות הרבים. אחד מרבותינו הראשונים (</w:t>
                            </w:r>
                            <w:proofErr w:type="spellStart"/>
                            <w:r w:rsidRPr="002D7BCD">
                              <w:rPr>
                                <w:rFonts w:hint="cs"/>
                                <w:sz w:val="24"/>
                                <w:szCs w:val="24"/>
                                <w:rtl/>
                              </w:rPr>
                              <w:t>ריטב"א</w:t>
                            </w:r>
                            <w:proofErr w:type="spellEnd"/>
                            <w:r w:rsidRPr="002D7BCD">
                              <w:rPr>
                                <w:rFonts w:hint="cs"/>
                                <w:sz w:val="24"/>
                                <w:szCs w:val="24"/>
                                <w:rtl/>
                              </w:rPr>
                              <w:t xml:space="preserve"> שם) מבאר שרשות הרבים מגיעה עד לגובה עשרה טפחים ועל כן יש להדליק את הנר בתוכה </w:t>
                            </w:r>
                            <w:r w:rsidRPr="002D7BCD">
                              <w:rPr>
                                <w:sz w:val="24"/>
                                <w:szCs w:val="24"/>
                                <w:rtl/>
                              </w:rPr>
                              <w:t>–</w:t>
                            </w:r>
                            <w:r w:rsidRPr="002D7BCD">
                              <w:rPr>
                                <w:rFonts w:hint="cs"/>
                                <w:sz w:val="24"/>
                                <w:szCs w:val="24"/>
                                <w:rtl/>
                              </w:rPr>
                              <w:t xml:space="preserve"> בתוך עשרה טפחים.  </w:t>
                            </w:r>
                          </w:p>
                          <w:p w:rsidR="00355BCA" w:rsidRPr="002D7BCD" w:rsidRDefault="00355BCA" w:rsidP="00355BCA">
                            <w:pPr>
                              <w:pStyle w:val="D11"/>
                              <w:rPr>
                                <w:sz w:val="24"/>
                                <w:szCs w:val="24"/>
                                <w:rtl/>
                              </w:rPr>
                            </w:pPr>
                            <w:proofErr w:type="spellStart"/>
                            <w:r w:rsidRPr="002D7BCD">
                              <w:rPr>
                                <w:rFonts w:hint="cs"/>
                                <w:sz w:val="24"/>
                                <w:szCs w:val="24"/>
                                <w:rtl/>
                              </w:rPr>
                              <w:t>הריטב"א</w:t>
                            </w:r>
                            <w:proofErr w:type="spellEnd"/>
                            <w:r w:rsidRPr="002D7BCD">
                              <w:rPr>
                                <w:rFonts w:hint="cs"/>
                                <w:sz w:val="24"/>
                                <w:szCs w:val="24"/>
                                <w:rtl/>
                              </w:rPr>
                              <w:t xml:space="preserve"> מוסיף ומביא את דברי ר' יוסי במסכת בסוכה (</w:t>
                            </w:r>
                            <w:proofErr w:type="spellStart"/>
                            <w:r w:rsidRPr="002D7BCD">
                              <w:rPr>
                                <w:rFonts w:hint="cs"/>
                                <w:sz w:val="24"/>
                                <w:szCs w:val="24"/>
                                <w:rtl/>
                              </w:rPr>
                              <w:t>ה,א</w:t>
                            </w:r>
                            <w:proofErr w:type="spellEnd"/>
                            <w:r w:rsidRPr="002D7BCD">
                              <w:rPr>
                                <w:rFonts w:hint="cs"/>
                                <w:sz w:val="24"/>
                                <w:szCs w:val="24"/>
                                <w:rtl/>
                              </w:rPr>
                              <w:t>), שמחלקים בין רשות האדם לרשותו של הקב"ה: "</w:t>
                            </w:r>
                            <w:r w:rsidRPr="002D7BCD">
                              <w:rPr>
                                <w:sz w:val="24"/>
                                <w:szCs w:val="24"/>
                                <w:rtl/>
                              </w:rPr>
                              <w:t>מעולם לא ירדה שכינה למטה, ולא עלו משה ואליהו למרום</w:t>
                            </w:r>
                            <w:r w:rsidRPr="002D7BCD">
                              <w:rPr>
                                <w:rFonts w:hint="cs"/>
                                <w:sz w:val="24"/>
                                <w:szCs w:val="24"/>
                                <w:rtl/>
                              </w:rPr>
                              <w:t xml:space="preserve">." הסוגיה שם מבארת ששכינה לא ירדה למטה מעשרה, ומשה לא עלה למעלה מעשרה. </w:t>
                            </w:r>
                          </w:p>
                          <w:p w:rsidR="00355BCA" w:rsidRPr="002D7BCD" w:rsidRDefault="00355BCA" w:rsidP="00355BCA">
                            <w:pPr>
                              <w:pStyle w:val="D11"/>
                              <w:rPr>
                                <w:sz w:val="24"/>
                                <w:szCs w:val="24"/>
                                <w:rtl/>
                              </w:rPr>
                            </w:pPr>
                            <w:r w:rsidRPr="002D7BCD">
                              <w:rPr>
                                <w:rFonts w:hint="cs"/>
                                <w:sz w:val="24"/>
                                <w:szCs w:val="24"/>
                                <w:rtl/>
                              </w:rPr>
                              <w:t xml:space="preserve">דברים אלה של </w:t>
                            </w:r>
                            <w:proofErr w:type="spellStart"/>
                            <w:r w:rsidRPr="002D7BCD">
                              <w:rPr>
                                <w:rFonts w:hint="cs"/>
                                <w:sz w:val="24"/>
                                <w:szCs w:val="24"/>
                                <w:rtl/>
                              </w:rPr>
                              <w:t>הריטב"א</w:t>
                            </w:r>
                            <w:proofErr w:type="spellEnd"/>
                            <w:r w:rsidRPr="002D7BCD">
                              <w:rPr>
                                <w:rFonts w:hint="cs"/>
                                <w:sz w:val="24"/>
                                <w:szCs w:val="24"/>
                                <w:rtl/>
                              </w:rPr>
                              <w:t xml:space="preserve"> מסייעים לנו להגדיר את משמעות הדלקת הנרות ברשות הרבים: למטה מעשרה הוא המקום האנושי לגמרי. רשות הרבים מגיעה עד לגובה עשרה, כי זהו גובה הרגליים המהלכות בה. הרגליים מסמלות את הצד הנמוך של החיים האנושיים. במתן תורה לא ירדה שכינה למטה מעשרה. הראיה שהביאה הסוגיה בסוכה לכך ששכינה נשארה למעלה מעשרה היא מגובה הארון במשכן, שביחד עם הכפורת הגיע לגובה עשרה טפחים, והשכינה דיברה מעליו. האם דבר מוסכם הוא שלא ירדה שכינה למטה מעשרה? במדרש (שמ"ר </w:t>
                            </w:r>
                            <w:proofErr w:type="spellStart"/>
                            <w:r w:rsidRPr="002D7BCD">
                              <w:rPr>
                                <w:rFonts w:hint="cs"/>
                                <w:sz w:val="24"/>
                                <w:szCs w:val="24"/>
                                <w:rtl/>
                              </w:rPr>
                              <w:t>יב</w:t>
                            </w:r>
                            <w:proofErr w:type="spellEnd"/>
                            <w:r w:rsidRPr="002D7BCD">
                              <w:rPr>
                                <w:rFonts w:hint="cs"/>
                                <w:sz w:val="24"/>
                                <w:szCs w:val="24"/>
                                <w:rtl/>
                              </w:rPr>
                              <w:t>) מצויה עמדה שונה: "</w:t>
                            </w:r>
                            <w:r w:rsidRPr="002D7BCD">
                              <w:rPr>
                                <w:sz w:val="24"/>
                                <w:szCs w:val="24"/>
                                <w:rtl/>
                              </w:rPr>
                              <w:t xml:space="preserve">כשברא הקדוש ברוך הוא את העולם גזר ואמר השמים שמים לה' והארץ נתן לבני אדם כשבקש </w:t>
                            </w:r>
                            <w:proofErr w:type="spellStart"/>
                            <w:r w:rsidRPr="002D7BCD">
                              <w:rPr>
                                <w:sz w:val="24"/>
                                <w:szCs w:val="24"/>
                                <w:rtl/>
                              </w:rPr>
                              <w:t>ליתן</w:t>
                            </w:r>
                            <w:proofErr w:type="spellEnd"/>
                            <w:r w:rsidRPr="002D7BCD">
                              <w:rPr>
                                <w:sz w:val="24"/>
                                <w:szCs w:val="24"/>
                                <w:rtl/>
                              </w:rPr>
                              <w:t xml:space="preserve"> התורה בטל גזירה ראשונה ואמר התחתונים יעלו לעליונים והעליונים ירדו לתחתונים</w:t>
                            </w:r>
                            <w:r w:rsidRPr="002D7BCD">
                              <w:rPr>
                                <w:rFonts w:hint="cs"/>
                                <w:sz w:val="24"/>
                                <w:szCs w:val="24"/>
                                <w:rtl/>
                              </w:rPr>
                              <w:t>..."</w:t>
                            </w:r>
                            <w:r w:rsidRPr="002D7BCD">
                              <w:rPr>
                                <w:sz w:val="24"/>
                                <w:szCs w:val="24"/>
                                <w:rtl/>
                              </w:rPr>
                              <w:t xml:space="preserve"> </w:t>
                            </w:r>
                            <w:r w:rsidRPr="002D7BCD">
                              <w:rPr>
                                <w:rFonts w:hint="cs"/>
                                <w:sz w:val="24"/>
                                <w:szCs w:val="24"/>
                                <w:rtl/>
                              </w:rPr>
                              <w:t xml:space="preserve">אך בין אם נסבור ששכינה ירדה או שנסבור שלא, יש לשים לב שלוחות הברית </w:t>
                            </w:r>
                            <w:r w:rsidRPr="002D7BCD">
                              <w:rPr>
                                <w:sz w:val="24"/>
                                <w:szCs w:val="24"/>
                                <w:rtl/>
                              </w:rPr>
                              <w:t>–</w:t>
                            </w:r>
                            <w:r w:rsidRPr="002D7BCD">
                              <w:rPr>
                                <w:rFonts w:hint="cs"/>
                                <w:sz w:val="24"/>
                                <w:szCs w:val="24"/>
                                <w:rtl/>
                              </w:rPr>
                              <w:t xml:space="preserve"> התורה, נמצאים בארון למטה מעשרה. כלומר: יש בכל זאת הארה אלוקית גם מתחת לעשרה. באופן יותר גלוי, נרות החנוכה מאירים דווקא ברשות הרבים הנמוכה מעשרה. לכן זמן ההדלקה הוא 'עד שתכלה רגל מן השוק'. השוק הוא מקום העיסוק החומרי, מקום דריסת רגלי הרבים. </w:t>
                            </w:r>
                            <w:proofErr w:type="spellStart"/>
                            <w:r w:rsidRPr="002D7BCD">
                              <w:rPr>
                                <w:rFonts w:hint="cs"/>
                                <w:sz w:val="24"/>
                                <w:szCs w:val="24"/>
                                <w:rtl/>
                              </w:rPr>
                              <w:t>הריטב"א</w:t>
                            </w:r>
                            <w:proofErr w:type="spellEnd"/>
                            <w:r w:rsidRPr="002D7BCD">
                              <w:rPr>
                                <w:rFonts w:hint="cs"/>
                                <w:sz w:val="24"/>
                                <w:szCs w:val="24"/>
                                <w:rtl/>
                              </w:rPr>
                              <w:t xml:space="preserve"> פתח את ביאורו בכך שבתוך עשרה, האדם והנר שהדליק נמצאים ברשות אחת. נרות חנוכה אינם מאירים מלמעלה, כי הם מאירים דווקא את השוק, ודווקא כשהם נמצאים בתוכו. אין די בלפיד הנישא. יש צורך באור נר שנמצא עם האדם ובחייו, גם בחורים ובסדקים.</w:t>
                            </w:r>
                          </w:p>
                          <w:p w:rsidR="00355BCA" w:rsidRDefault="00355BCA" w:rsidP="00355BCA">
                            <w:pPr>
                              <w:rPr>
                                <w:rFonts w:ascii="Calibri" w:hAnsi="Calibri"/>
                                <w:color w:val="000000"/>
                                <w:sz w:val="28"/>
                                <w:szCs w:val="28"/>
                                <w:rtl/>
                              </w:rPr>
                            </w:pPr>
                          </w:p>
                          <w:p w:rsidR="00355BCA" w:rsidRDefault="00355BCA" w:rsidP="00355BCA">
                            <w:pPr>
                              <w:spacing w:line="360" w:lineRule="auto"/>
                              <w:ind w:firstLine="386"/>
                              <w:jc w:val="center"/>
                              <w:rPr>
                                <w:rFonts w:ascii="Calibri" w:hAnsi="Calibri"/>
                                <w:b/>
                                <w:bCs/>
                                <w:color w:val="000000"/>
                                <w:sz w:val="28"/>
                                <w:szCs w:val="28"/>
                                <w:rtl/>
                              </w:rPr>
                            </w:pPr>
                            <w:r>
                              <w:rPr>
                                <w:rFonts w:ascii="Calibri" w:hAnsi="Calibri"/>
                                <w:b/>
                                <w:bCs/>
                                <w:color w:val="000000"/>
                                <w:sz w:val="28"/>
                                <w:szCs w:val="28"/>
                                <w:rtl/>
                              </w:rPr>
                              <w:t>   </w:t>
                            </w:r>
                            <w:r w:rsidRPr="00A13712">
                              <w:rPr>
                                <w:rFonts w:ascii="Calibri" w:hAnsi="Calibri"/>
                                <w:b/>
                                <w:bCs/>
                                <w:color w:val="000000"/>
                                <w:sz w:val="28"/>
                                <w:szCs w:val="28"/>
                                <w:rtl/>
                              </w:rPr>
                              <w:t>             </w:t>
                            </w:r>
                          </w:p>
                          <w:p w:rsidR="00B062CA" w:rsidRPr="008475F9" w:rsidRDefault="00B062CA" w:rsidP="00B062CA">
                            <w:pPr>
                              <w:jc w:val="cen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5pt;margin-top:33.75pt;width:529.5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" filled="f" stroked="f" strokeweight=".5pt">
                <v:textbox>
                  <w:txbxContent>
                    <w:p w:rsidR="00355BCA" w:rsidRDefault="00355BCA" w:rsidP="00355BCA">
                      <w:pPr>
                        <w:rPr>
                          <w:rFonts w:ascii="Calibri" w:hAnsi="Calibri" w:hint="cs"/>
                          <w:color w:val="000000"/>
                          <w:sz w:val="28"/>
                          <w:szCs w:val="28"/>
                          <w:rtl/>
                        </w:rPr>
                      </w:pPr>
                    </w:p>
                    <w:p w:rsidR="00355BCA" w:rsidRDefault="00355BCA" w:rsidP="00355BCA">
                      <w:pPr>
                        <w:rPr>
                          <w:rFonts w:ascii="Calibri" w:hAnsi="Calibri"/>
                          <w:color w:val="000000"/>
                          <w:sz w:val="28"/>
                          <w:szCs w:val="28"/>
                        </w:rPr>
                      </w:pPr>
                      <w:r>
                        <w:rPr>
                          <w:rFonts w:ascii="Calibri" w:hAnsi="Calibri"/>
                          <w:color w:val="000000"/>
                          <w:sz w:val="28"/>
                          <w:szCs w:val="28"/>
                          <w:rtl/>
                        </w:rPr>
                        <w:t xml:space="preserve">בס"ד, </w:t>
                      </w:r>
                      <w:r>
                        <w:rPr>
                          <w:rFonts w:ascii="Calibri" w:hAnsi="Calibri" w:hint="cs"/>
                          <w:color w:val="000000"/>
                          <w:sz w:val="28"/>
                          <w:szCs w:val="28"/>
                          <w:rtl/>
                        </w:rPr>
                        <w:t>כסלו</w:t>
                      </w:r>
                      <w:r>
                        <w:rPr>
                          <w:rFonts w:ascii="Calibri" w:hAnsi="Calibri"/>
                          <w:color w:val="000000"/>
                          <w:sz w:val="28"/>
                          <w:szCs w:val="28"/>
                          <w:rtl/>
                        </w:rPr>
                        <w:t xml:space="preserve"> תשע"</w:t>
                      </w:r>
                      <w:r>
                        <w:rPr>
                          <w:rFonts w:ascii="Calibri" w:hAnsi="Calibri" w:hint="cs"/>
                          <w:color w:val="000000"/>
                          <w:sz w:val="28"/>
                          <w:szCs w:val="28"/>
                          <w:rtl/>
                        </w:rPr>
                        <w:t>ט</w:t>
                      </w:r>
                    </w:p>
                    <w:p w:rsidR="00355BCA" w:rsidRDefault="00355BCA" w:rsidP="00355BCA">
                      <w:pPr>
                        <w:rPr>
                          <w:rFonts w:ascii="Calibri" w:hAnsi="Calibri"/>
                          <w:color w:val="000000"/>
                          <w:sz w:val="28"/>
                          <w:szCs w:val="28"/>
                        </w:rPr>
                      </w:pPr>
                    </w:p>
                    <w:p w:rsidR="00355BCA" w:rsidRDefault="00355BCA" w:rsidP="00355BCA">
                      <w:pPr>
                        <w:rPr>
                          <w:rFonts w:ascii="Calibri" w:hAnsi="Calibri"/>
                          <w:color w:val="000000"/>
                          <w:sz w:val="28"/>
                          <w:szCs w:val="28"/>
                          <w:rtl/>
                        </w:rPr>
                      </w:pPr>
                    </w:p>
                    <w:p w:rsidR="00355BCA" w:rsidRDefault="00355BCA" w:rsidP="00355BCA">
                      <w:pPr>
                        <w:pStyle w:val="D11"/>
                        <w:rPr>
                          <w:rtl/>
                        </w:rPr>
                      </w:pPr>
                      <w:bookmarkStart w:id="1" w:name="_GoBack"/>
                    </w:p>
                    <w:bookmarkEnd w:id="1"/>
                    <w:p w:rsidR="00355BCA" w:rsidRDefault="00355BCA" w:rsidP="00355BCA">
                      <w:pPr>
                        <w:pStyle w:val="D11"/>
                        <w:jc w:val="center"/>
                        <w:rPr>
                          <w:rFonts w:ascii="Calibri" w:hAnsi="Calibri" w:hint="cs"/>
                          <w:b/>
                          <w:bCs/>
                          <w:color w:val="000000"/>
                          <w:sz w:val="40"/>
                          <w:szCs w:val="40"/>
                          <w:rtl/>
                        </w:rPr>
                      </w:pPr>
                    </w:p>
                    <w:p w:rsidR="00355BCA" w:rsidRDefault="00355BCA" w:rsidP="00355BCA">
                      <w:pPr>
                        <w:pStyle w:val="D11"/>
                        <w:jc w:val="center"/>
                        <w:rPr>
                          <w:rFonts w:ascii="Calibri" w:hAnsi="Calibri"/>
                          <w:b/>
                          <w:bCs/>
                          <w:color w:val="000000"/>
                          <w:sz w:val="28"/>
                          <w:szCs w:val="28"/>
                          <w:rtl/>
                        </w:rPr>
                      </w:pPr>
                      <w:r w:rsidRPr="00A13712">
                        <w:rPr>
                          <w:rFonts w:ascii="Calibri" w:hAnsi="Calibri"/>
                          <w:b/>
                          <w:bCs/>
                          <w:color w:val="000000"/>
                          <w:sz w:val="40"/>
                          <w:szCs w:val="40"/>
                          <w:rtl/>
                        </w:rPr>
                        <w:t>דבר תורה לפרשת</w:t>
                      </w:r>
                      <w:r>
                        <w:rPr>
                          <w:rFonts w:hint="cs"/>
                          <w:rtl/>
                        </w:rPr>
                        <w:t xml:space="preserve"> </w:t>
                      </w:r>
                      <w:r>
                        <w:rPr>
                          <w:rFonts w:ascii="Calibri" w:hAnsi="Calibri" w:hint="cs"/>
                          <w:b/>
                          <w:bCs/>
                          <w:color w:val="000000"/>
                          <w:sz w:val="40"/>
                          <w:szCs w:val="40"/>
                          <w:rtl/>
                        </w:rPr>
                        <w:t xml:space="preserve"> </w:t>
                      </w:r>
                      <w:r w:rsidRPr="003D0735">
                        <w:rPr>
                          <w:rFonts w:ascii="Calibri" w:hAnsi="Calibri" w:hint="cs"/>
                          <w:b/>
                          <w:bCs/>
                          <w:color w:val="000000"/>
                          <w:sz w:val="40"/>
                          <w:szCs w:val="40"/>
                          <w:rtl/>
                        </w:rPr>
                        <w:t>מקץ</w:t>
                      </w:r>
                      <w:r>
                        <w:rPr>
                          <w:rFonts w:ascii="Calibri" w:hAnsi="Calibri" w:hint="cs"/>
                          <w:b/>
                          <w:bCs/>
                          <w:color w:val="000000"/>
                          <w:sz w:val="28"/>
                          <w:szCs w:val="28"/>
                          <w:rtl/>
                        </w:rPr>
                        <w:t xml:space="preserve"> </w:t>
                      </w:r>
                      <w:r w:rsidRPr="003D0735">
                        <w:rPr>
                          <w:rFonts w:ascii="Calibri" w:hAnsi="Calibri" w:hint="cs"/>
                          <w:b/>
                          <w:bCs/>
                          <w:color w:val="000000"/>
                          <w:sz w:val="40"/>
                          <w:szCs w:val="40"/>
                          <w:rtl/>
                        </w:rPr>
                        <w:t>מאת הרב ישר</w:t>
                      </w:r>
                      <w:r>
                        <w:rPr>
                          <w:rFonts w:ascii="Calibri" w:hAnsi="Calibri" w:hint="cs"/>
                          <w:b/>
                          <w:bCs/>
                          <w:color w:val="000000"/>
                          <w:sz w:val="40"/>
                          <w:szCs w:val="40"/>
                          <w:rtl/>
                        </w:rPr>
                        <w:t>א</w:t>
                      </w:r>
                      <w:r w:rsidRPr="003D0735">
                        <w:rPr>
                          <w:rFonts w:ascii="Calibri" w:hAnsi="Calibri" w:hint="cs"/>
                          <w:b/>
                          <w:bCs/>
                          <w:color w:val="000000"/>
                          <w:sz w:val="40"/>
                          <w:szCs w:val="40"/>
                          <w:rtl/>
                        </w:rPr>
                        <w:t>ל סמט</w:t>
                      </w:r>
                    </w:p>
                    <w:p w:rsidR="00355BCA" w:rsidRDefault="00355BCA" w:rsidP="00355BCA">
                      <w:pPr>
                        <w:pStyle w:val="D11"/>
                        <w:jc w:val="center"/>
                        <w:rPr>
                          <w:rFonts w:ascii="Calibri" w:hAnsi="Calibri" w:hint="cs"/>
                          <w:b/>
                          <w:bCs/>
                          <w:color w:val="000000"/>
                          <w:sz w:val="32"/>
                          <w:szCs w:val="32"/>
                          <w:u w:val="single"/>
                          <w:rtl/>
                        </w:rPr>
                      </w:pPr>
                      <w:r w:rsidRPr="003D0735">
                        <w:rPr>
                          <w:rFonts w:ascii="Calibri" w:hAnsi="Calibri" w:hint="cs"/>
                          <w:b/>
                          <w:bCs/>
                          <w:color w:val="000000"/>
                          <w:sz w:val="32"/>
                          <w:szCs w:val="32"/>
                          <w:u w:val="single"/>
                          <w:rtl/>
                        </w:rPr>
                        <w:t xml:space="preserve">גבוה - נמוך </w:t>
                      </w:r>
                      <w:r>
                        <w:rPr>
                          <w:rFonts w:ascii="Calibri" w:hAnsi="Calibri"/>
                          <w:b/>
                          <w:bCs/>
                          <w:color w:val="000000"/>
                          <w:sz w:val="32"/>
                          <w:szCs w:val="32"/>
                          <w:u w:val="single"/>
                          <w:rtl/>
                        </w:rPr>
                        <w:t>–</w:t>
                      </w:r>
                      <w:r w:rsidRPr="003D0735">
                        <w:rPr>
                          <w:rFonts w:ascii="Calibri" w:hAnsi="Calibri" w:hint="cs"/>
                          <w:b/>
                          <w:bCs/>
                          <w:color w:val="000000"/>
                          <w:sz w:val="32"/>
                          <w:szCs w:val="32"/>
                          <w:u w:val="single"/>
                          <w:rtl/>
                        </w:rPr>
                        <w:t xml:space="preserve"> גבוה</w:t>
                      </w:r>
                    </w:p>
                    <w:p w:rsidR="00355BCA" w:rsidRDefault="00355BCA" w:rsidP="00355BCA">
                      <w:pPr>
                        <w:pStyle w:val="D11"/>
                        <w:jc w:val="center"/>
                        <w:rPr>
                          <w:rFonts w:ascii="Calibri" w:hAnsi="Calibri" w:hint="cs"/>
                          <w:b/>
                          <w:bCs/>
                          <w:color w:val="000000"/>
                          <w:sz w:val="32"/>
                          <w:szCs w:val="32"/>
                          <w:u w:val="single"/>
                          <w:rtl/>
                        </w:rPr>
                      </w:pPr>
                    </w:p>
                    <w:p w:rsidR="00355BCA" w:rsidRPr="003D0735" w:rsidRDefault="00355BCA" w:rsidP="00355BCA">
                      <w:pPr>
                        <w:pStyle w:val="D11"/>
                        <w:jc w:val="center"/>
                        <w:rPr>
                          <w:rFonts w:ascii="Calibri" w:hAnsi="Calibri"/>
                          <w:b/>
                          <w:bCs/>
                          <w:color w:val="000000"/>
                          <w:sz w:val="32"/>
                          <w:szCs w:val="32"/>
                          <w:u w:val="single"/>
                          <w:rtl/>
                        </w:rPr>
                      </w:pPr>
                    </w:p>
                    <w:p w:rsidR="00355BCA" w:rsidRDefault="00355BCA" w:rsidP="00355BCA">
                      <w:pPr>
                        <w:pStyle w:val="D11"/>
                        <w:rPr>
                          <w:rtl/>
                        </w:rPr>
                      </w:pPr>
                    </w:p>
                    <w:p w:rsidR="00355BCA" w:rsidRPr="002D7BCD" w:rsidRDefault="00355BCA" w:rsidP="00355BCA">
                      <w:pPr>
                        <w:pStyle w:val="D11"/>
                        <w:rPr>
                          <w:sz w:val="24"/>
                          <w:szCs w:val="24"/>
                          <w:rtl/>
                        </w:rPr>
                      </w:pPr>
                      <w:r w:rsidRPr="002D7BCD">
                        <w:rPr>
                          <w:rFonts w:hint="cs"/>
                          <w:sz w:val="24"/>
                          <w:szCs w:val="24"/>
                          <w:rtl/>
                        </w:rPr>
                        <w:t xml:space="preserve">פרדריק אוגוסט </w:t>
                      </w:r>
                      <w:proofErr w:type="spellStart"/>
                      <w:r w:rsidRPr="002D7BCD">
                        <w:rPr>
                          <w:rFonts w:hint="cs"/>
                          <w:sz w:val="24"/>
                          <w:szCs w:val="24"/>
                          <w:rtl/>
                        </w:rPr>
                        <w:t>ברתולדי</w:t>
                      </w:r>
                      <w:proofErr w:type="spellEnd"/>
                      <w:r w:rsidRPr="002D7BCD">
                        <w:rPr>
                          <w:rFonts w:hint="cs"/>
                          <w:sz w:val="24"/>
                          <w:szCs w:val="24"/>
                          <w:rtl/>
                        </w:rPr>
                        <w:t xml:space="preserve">, יוצר פסל החירות המוצב בניו-יורק, בחר לסמל את החירות על ידי </w:t>
                      </w:r>
                      <w:proofErr w:type="spellStart"/>
                      <w:r w:rsidRPr="002D7BCD">
                        <w:rPr>
                          <w:rFonts w:hint="cs"/>
                          <w:sz w:val="24"/>
                          <w:szCs w:val="24"/>
                          <w:rtl/>
                        </w:rPr>
                        <w:t>אשה</w:t>
                      </w:r>
                      <w:proofErr w:type="spellEnd"/>
                      <w:r w:rsidRPr="002D7BCD">
                        <w:rPr>
                          <w:rFonts w:hint="cs"/>
                          <w:sz w:val="24"/>
                          <w:szCs w:val="24"/>
                          <w:rtl/>
                        </w:rPr>
                        <w:t xml:space="preserve"> שאוחזת בלפיד בידה הימנית המורמת אל על. הסיבה להרמת היד פשוטה: כשרוצים להאיר למרחק, צריך להגביה את מקור האור. </w:t>
                      </w:r>
                    </w:p>
                    <w:p w:rsidR="00355BCA" w:rsidRPr="002D7BCD" w:rsidRDefault="00355BCA" w:rsidP="00355BCA">
                      <w:pPr>
                        <w:pStyle w:val="D11"/>
                        <w:rPr>
                          <w:sz w:val="24"/>
                          <w:szCs w:val="24"/>
                          <w:rtl/>
                        </w:rPr>
                      </w:pPr>
                      <w:r w:rsidRPr="002D7BCD">
                        <w:rPr>
                          <w:rFonts w:hint="cs"/>
                          <w:sz w:val="24"/>
                          <w:szCs w:val="24"/>
                          <w:rtl/>
                        </w:rPr>
                        <w:t xml:space="preserve">על כן תמוהה ההלכה שאמר </w:t>
                      </w:r>
                      <w:proofErr w:type="spellStart"/>
                      <w:r w:rsidRPr="002D7BCD">
                        <w:rPr>
                          <w:rFonts w:hint="cs"/>
                          <w:sz w:val="24"/>
                          <w:szCs w:val="24"/>
                          <w:rtl/>
                        </w:rPr>
                        <w:t>רבינא</w:t>
                      </w:r>
                      <w:proofErr w:type="spellEnd"/>
                      <w:r w:rsidRPr="002D7BCD">
                        <w:rPr>
                          <w:rFonts w:hint="cs"/>
                          <w:sz w:val="24"/>
                          <w:szCs w:val="24"/>
                          <w:rtl/>
                        </w:rPr>
                        <w:t xml:space="preserve"> (בבלי שבת </w:t>
                      </w:r>
                      <w:proofErr w:type="spellStart"/>
                      <w:r w:rsidRPr="002D7BCD">
                        <w:rPr>
                          <w:rFonts w:hint="cs"/>
                          <w:sz w:val="24"/>
                          <w:szCs w:val="24"/>
                          <w:rtl/>
                        </w:rPr>
                        <w:t>כא,ב</w:t>
                      </w:r>
                      <w:proofErr w:type="spellEnd"/>
                      <w:r w:rsidRPr="002D7BCD">
                        <w:rPr>
                          <w:rFonts w:hint="cs"/>
                          <w:sz w:val="24"/>
                          <w:szCs w:val="24"/>
                          <w:rtl/>
                        </w:rPr>
                        <w:t>): "</w:t>
                      </w:r>
                      <w:r w:rsidRPr="002D7BCD">
                        <w:rPr>
                          <w:sz w:val="24"/>
                          <w:szCs w:val="24"/>
                          <w:rtl/>
                        </w:rPr>
                        <w:t>נר חנוכה מצוה להניחה בתוך עשרה</w:t>
                      </w:r>
                      <w:r w:rsidRPr="002D7BCD">
                        <w:rPr>
                          <w:rFonts w:hint="cs"/>
                          <w:sz w:val="24"/>
                          <w:szCs w:val="24"/>
                          <w:rtl/>
                        </w:rPr>
                        <w:t xml:space="preserve">" (טפחים, וכך נפסק </w:t>
                      </w:r>
                      <w:proofErr w:type="spellStart"/>
                      <w:r w:rsidRPr="002D7BCD">
                        <w:rPr>
                          <w:rFonts w:hint="cs"/>
                          <w:sz w:val="24"/>
                          <w:szCs w:val="24"/>
                          <w:rtl/>
                        </w:rPr>
                        <w:t>בשו"ע</w:t>
                      </w:r>
                      <w:proofErr w:type="spellEnd"/>
                      <w:r w:rsidRPr="002D7BCD">
                        <w:rPr>
                          <w:rFonts w:hint="cs"/>
                          <w:sz w:val="24"/>
                          <w:szCs w:val="24"/>
                          <w:rtl/>
                        </w:rPr>
                        <w:t xml:space="preserve"> תרע"א ,ו). בחג שבו מפרסמים את הנס, ראוי היה להגביה את האור ולהאיר לכל עבר!</w:t>
                      </w:r>
                    </w:p>
                    <w:p w:rsidR="00355BCA" w:rsidRPr="002D7BCD" w:rsidRDefault="00355BCA" w:rsidP="00355BCA">
                      <w:pPr>
                        <w:pStyle w:val="D11"/>
                        <w:rPr>
                          <w:sz w:val="24"/>
                          <w:szCs w:val="24"/>
                          <w:rtl/>
                        </w:rPr>
                      </w:pPr>
                      <w:r w:rsidRPr="002D7BCD">
                        <w:rPr>
                          <w:rFonts w:hint="cs"/>
                          <w:sz w:val="24"/>
                          <w:szCs w:val="24"/>
                          <w:rtl/>
                        </w:rPr>
                        <w:t>מדוע אם כן מצוה להניח את הנר בתוך עשרה טפחים?</w:t>
                      </w:r>
                    </w:p>
                    <w:p w:rsidR="00355BCA" w:rsidRPr="002D7BCD" w:rsidRDefault="00355BCA" w:rsidP="00355BCA">
                      <w:pPr>
                        <w:pStyle w:val="D11"/>
                        <w:rPr>
                          <w:sz w:val="24"/>
                          <w:szCs w:val="24"/>
                          <w:rtl/>
                        </w:rPr>
                      </w:pPr>
                      <w:r w:rsidRPr="002D7BCD">
                        <w:rPr>
                          <w:rFonts w:hint="cs"/>
                          <w:sz w:val="24"/>
                          <w:szCs w:val="24"/>
                          <w:rtl/>
                        </w:rPr>
                        <w:t xml:space="preserve">תשובה אפשרית נובעת מכך </w:t>
                      </w:r>
                      <w:proofErr w:type="spellStart"/>
                      <w:r w:rsidRPr="002D7BCD">
                        <w:rPr>
                          <w:rFonts w:hint="cs"/>
                          <w:sz w:val="24"/>
                          <w:szCs w:val="24"/>
                          <w:rtl/>
                        </w:rPr>
                        <w:t>שמצוה</w:t>
                      </w:r>
                      <w:proofErr w:type="spellEnd"/>
                      <w:r w:rsidRPr="002D7BCD">
                        <w:rPr>
                          <w:rFonts w:hint="cs"/>
                          <w:sz w:val="24"/>
                          <w:szCs w:val="24"/>
                          <w:rtl/>
                        </w:rPr>
                        <w:t xml:space="preserve"> להניח את נר החנוכה על פתח ביתו מבחוץ </w:t>
                      </w:r>
                      <w:r w:rsidRPr="002D7BCD">
                        <w:rPr>
                          <w:sz w:val="24"/>
                          <w:szCs w:val="24"/>
                          <w:rtl/>
                        </w:rPr>
                        <w:t>–</w:t>
                      </w:r>
                      <w:r w:rsidRPr="002D7BCD">
                        <w:rPr>
                          <w:rFonts w:hint="cs"/>
                          <w:sz w:val="24"/>
                          <w:szCs w:val="24"/>
                          <w:rtl/>
                        </w:rPr>
                        <w:t xml:space="preserve"> כלומר ברשות הרבים. אחד מרבותינו הראשונים (</w:t>
                      </w:r>
                      <w:proofErr w:type="spellStart"/>
                      <w:r w:rsidRPr="002D7BCD">
                        <w:rPr>
                          <w:rFonts w:hint="cs"/>
                          <w:sz w:val="24"/>
                          <w:szCs w:val="24"/>
                          <w:rtl/>
                        </w:rPr>
                        <w:t>ריטב"א</w:t>
                      </w:r>
                      <w:proofErr w:type="spellEnd"/>
                      <w:r w:rsidRPr="002D7BCD">
                        <w:rPr>
                          <w:rFonts w:hint="cs"/>
                          <w:sz w:val="24"/>
                          <w:szCs w:val="24"/>
                          <w:rtl/>
                        </w:rPr>
                        <w:t xml:space="preserve"> שם) מבאר שרשות הרבים מגיעה עד לגובה עשרה טפחים ועל כן יש להדליק את הנר בתוכה </w:t>
                      </w:r>
                      <w:r w:rsidRPr="002D7BCD">
                        <w:rPr>
                          <w:sz w:val="24"/>
                          <w:szCs w:val="24"/>
                          <w:rtl/>
                        </w:rPr>
                        <w:t>–</w:t>
                      </w:r>
                      <w:r w:rsidRPr="002D7BCD">
                        <w:rPr>
                          <w:rFonts w:hint="cs"/>
                          <w:sz w:val="24"/>
                          <w:szCs w:val="24"/>
                          <w:rtl/>
                        </w:rPr>
                        <w:t xml:space="preserve"> בתוך עשרה טפחים.  </w:t>
                      </w:r>
                    </w:p>
                    <w:p w:rsidR="00355BCA" w:rsidRPr="002D7BCD" w:rsidRDefault="00355BCA" w:rsidP="00355BCA">
                      <w:pPr>
                        <w:pStyle w:val="D11"/>
                        <w:rPr>
                          <w:sz w:val="24"/>
                          <w:szCs w:val="24"/>
                          <w:rtl/>
                        </w:rPr>
                      </w:pPr>
                      <w:proofErr w:type="spellStart"/>
                      <w:r w:rsidRPr="002D7BCD">
                        <w:rPr>
                          <w:rFonts w:hint="cs"/>
                          <w:sz w:val="24"/>
                          <w:szCs w:val="24"/>
                          <w:rtl/>
                        </w:rPr>
                        <w:t>הריטב"א</w:t>
                      </w:r>
                      <w:proofErr w:type="spellEnd"/>
                      <w:r w:rsidRPr="002D7BCD">
                        <w:rPr>
                          <w:rFonts w:hint="cs"/>
                          <w:sz w:val="24"/>
                          <w:szCs w:val="24"/>
                          <w:rtl/>
                        </w:rPr>
                        <w:t xml:space="preserve"> מוסיף ומביא את דברי ר' יוסי במסכת בסוכה (</w:t>
                      </w:r>
                      <w:proofErr w:type="spellStart"/>
                      <w:r w:rsidRPr="002D7BCD">
                        <w:rPr>
                          <w:rFonts w:hint="cs"/>
                          <w:sz w:val="24"/>
                          <w:szCs w:val="24"/>
                          <w:rtl/>
                        </w:rPr>
                        <w:t>ה,א</w:t>
                      </w:r>
                      <w:proofErr w:type="spellEnd"/>
                      <w:r w:rsidRPr="002D7BCD">
                        <w:rPr>
                          <w:rFonts w:hint="cs"/>
                          <w:sz w:val="24"/>
                          <w:szCs w:val="24"/>
                          <w:rtl/>
                        </w:rPr>
                        <w:t>), שמחלקים בין רשות האדם לרשותו של הקב"ה: "</w:t>
                      </w:r>
                      <w:r w:rsidRPr="002D7BCD">
                        <w:rPr>
                          <w:sz w:val="24"/>
                          <w:szCs w:val="24"/>
                          <w:rtl/>
                        </w:rPr>
                        <w:t>מעולם לא ירדה שכינה למטה, ולא עלו משה ואליהו למרום</w:t>
                      </w:r>
                      <w:r w:rsidRPr="002D7BCD">
                        <w:rPr>
                          <w:rFonts w:hint="cs"/>
                          <w:sz w:val="24"/>
                          <w:szCs w:val="24"/>
                          <w:rtl/>
                        </w:rPr>
                        <w:t xml:space="preserve">." הסוגיה שם מבארת ששכינה לא ירדה למטה מעשרה, ומשה לא עלה למעלה מעשרה. </w:t>
                      </w:r>
                    </w:p>
                    <w:p w:rsidR="00355BCA" w:rsidRPr="002D7BCD" w:rsidRDefault="00355BCA" w:rsidP="00355BCA">
                      <w:pPr>
                        <w:pStyle w:val="D11"/>
                        <w:rPr>
                          <w:sz w:val="24"/>
                          <w:szCs w:val="24"/>
                          <w:rtl/>
                        </w:rPr>
                      </w:pPr>
                      <w:r w:rsidRPr="002D7BCD">
                        <w:rPr>
                          <w:rFonts w:hint="cs"/>
                          <w:sz w:val="24"/>
                          <w:szCs w:val="24"/>
                          <w:rtl/>
                        </w:rPr>
                        <w:t xml:space="preserve">דברים אלה של </w:t>
                      </w:r>
                      <w:proofErr w:type="spellStart"/>
                      <w:r w:rsidRPr="002D7BCD">
                        <w:rPr>
                          <w:rFonts w:hint="cs"/>
                          <w:sz w:val="24"/>
                          <w:szCs w:val="24"/>
                          <w:rtl/>
                        </w:rPr>
                        <w:t>הריטב"א</w:t>
                      </w:r>
                      <w:proofErr w:type="spellEnd"/>
                      <w:r w:rsidRPr="002D7BCD">
                        <w:rPr>
                          <w:rFonts w:hint="cs"/>
                          <w:sz w:val="24"/>
                          <w:szCs w:val="24"/>
                          <w:rtl/>
                        </w:rPr>
                        <w:t xml:space="preserve"> מסייעים לנו להגדיר את משמעות הדלקת הנרות ברשות הרבים: למטה מעשרה הוא המקום האנושי לגמרי. רשות הרבים מגיעה עד לגובה עשרה, כי זהו גובה הרגליים המהלכות בה. הרגליים מסמלות את הצד הנמוך של החיים האנושיים. במתן תורה לא ירדה שכינה למטה מעשרה. הראיה שהביאה הסוגיה בסוכה לכך ששכינה נשארה למעלה מעשרה היא מגובה הארון במשכן, שביחד עם הכפורת הגיע לגובה עשרה טפחים, והשכינה דיברה מעליו. האם דבר מוסכם הוא שלא ירדה שכינה למטה מעשרה? במדרש (שמ"ר </w:t>
                      </w:r>
                      <w:proofErr w:type="spellStart"/>
                      <w:r w:rsidRPr="002D7BCD">
                        <w:rPr>
                          <w:rFonts w:hint="cs"/>
                          <w:sz w:val="24"/>
                          <w:szCs w:val="24"/>
                          <w:rtl/>
                        </w:rPr>
                        <w:t>יב</w:t>
                      </w:r>
                      <w:proofErr w:type="spellEnd"/>
                      <w:r w:rsidRPr="002D7BCD">
                        <w:rPr>
                          <w:rFonts w:hint="cs"/>
                          <w:sz w:val="24"/>
                          <w:szCs w:val="24"/>
                          <w:rtl/>
                        </w:rPr>
                        <w:t>) מצויה עמדה שונה: "</w:t>
                      </w:r>
                      <w:r w:rsidRPr="002D7BCD">
                        <w:rPr>
                          <w:sz w:val="24"/>
                          <w:szCs w:val="24"/>
                          <w:rtl/>
                        </w:rPr>
                        <w:t xml:space="preserve">כשברא הקדוש ברוך הוא את העולם גזר ואמר השמים שמים לה' והארץ נתן לבני אדם כשבקש </w:t>
                      </w:r>
                      <w:proofErr w:type="spellStart"/>
                      <w:r w:rsidRPr="002D7BCD">
                        <w:rPr>
                          <w:sz w:val="24"/>
                          <w:szCs w:val="24"/>
                          <w:rtl/>
                        </w:rPr>
                        <w:t>ליתן</w:t>
                      </w:r>
                      <w:proofErr w:type="spellEnd"/>
                      <w:r w:rsidRPr="002D7BCD">
                        <w:rPr>
                          <w:sz w:val="24"/>
                          <w:szCs w:val="24"/>
                          <w:rtl/>
                        </w:rPr>
                        <w:t xml:space="preserve"> התורה בטל גזירה ראשונה ואמר התחתונים יעלו לעליונים והעליונים ירדו לתחתונים</w:t>
                      </w:r>
                      <w:r w:rsidRPr="002D7BCD">
                        <w:rPr>
                          <w:rFonts w:hint="cs"/>
                          <w:sz w:val="24"/>
                          <w:szCs w:val="24"/>
                          <w:rtl/>
                        </w:rPr>
                        <w:t>..."</w:t>
                      </w:r>
                      <w:r w:rsidRPr="002D7BCD">
                        <w:rPr>
                          <w:sz w:val="24"/>
                          <w:szCs w:val="24"/>
                          <w:rtl/>
                        </w:rPr>
                        <w:t xml:space="preserve"> </w:t>
                      </w:r>
                      <w:r w:rsidRPr="002D7BCD">
                        <w:rPr>
                          <w:rFonts w:hint="cs"/>
                          <w:sz w:val="24"/>
                          <w:szCs w:val="24"/>
                          <w:rtl/>
                        </w:rPr>
                        <w:t xml:space="preserve">אך בין אם נסבור ששכינה ירדה או שנסבור שלא, יש לשים לב שלוחות הברית </w:t>
                      </w:r>
                      <w:r w:rsidRPr="002D7BCD">
                        <w:rPr>
                          <w:sz w:val="24"/>
                          <w:szCs w:val="24"/>
                          <w:rtl/>
                        </w:rPr>
                        <w:t>–</w:t>
                      </w:r>
                      <w:r w:rsidRPr="002D7BCD">
                        <w:rPr>
                          <w:rFonts w:hint="cs"/>
                          <w:sz w:val="24"/>
                          <w:szCs w:val="24"/>
                          <w:rtl/>
                        </w:rPr>
                        <w:t xml:space="preserve"> התורה, נמצאים בארון למטה מעשרה. כלומר: יש בכל זאת הארה אלוקית גם מתחת לעשרה. באופן יותר גלוי, נרות החנוכה מאירים דווקא ברשות הרבים הנמוכה מעשרה. לכן זמן ההדלקה הוא 'עד שתכלה רגל מן השוק'. השוק הוא מקום העיסוק החומרי, מקום דריסת רגלי הרבים. </w:t>
                      </w:r>
                      <w:proofErr w:type="spellStart"/>
                      <w:r w:rsidRPr="002D7BCD">
                        <w:rPr>
                          <w:rFonts w:hint="cs"/>
                          <w:sz w:val="24"/>
                          <w:szCs w:val="24"/>
                          <w:rtl/>
                        </w:rPr>
                        <w:t>הריטב"א</w:t>
                      </w:r>
                      <w:proofErr w:type="spellEnd"/>
                      <w:r w:rsidRPr="002D7BCD">
                        <w:rPr>
                          <w:rFonts w:hint="cs"/>
                          <w:sz w:val="24"/>
                          <w:szCs w:val="24"/>
                          <w:rtl/>
                        </w:rPr>
                        <w:t xml:space="preserve"> פתח את ביאורו בכך שבתוך עשרה, האדם והנר שהדליק נמצאים ברשות אחת. נרות חנוכה אינם מאירים מלמעלה, כי הם מאירים דווקא את השוק, ודווקא כשהם נמצאים בתוכו. אין די בלפיד הנישא. יש צורך באור נר שנמצא עם האדם ובחייו, גם בחורים ובסדקים.</w:t>
                      </w:r>
                    </w:p>
                    <w:p w:rsidR="00355BCA" w:rsidRDefault="00355BCA" w:rsidP="00355BCA">
                      <w:pPr>
                        <w:rPr>
                          <w:rFonts w:ascii="Calibri" w:hAnsi="Calibri"/>
                          <w:color w:val="000000"/>
                          <w:sz w:val="28"/>
                          <w:szCs w:val="28"/>
                          <w:rtl/>
                        </w:rPr>
                      </w:pPr>
                    </w:p>
                    <w:p w:rsidR="00355BCA" w:rsidRDefault="00355BCA" w:rsidP="00355BCA">
                      <w:pPr>
                        <w:spacing w:line="360" w:lineRule="auto"/>
                        <w:ind w:firstLine="386"/>
                        <w:jc w:val="center"/>
                        <w:rPr>
                          <w:rFonts w:ascii="Calibri" w:hAnsi="Calibri"/>
                          <w:b/>
                          <w:bCs/>
                          <w:color w:val="000000"/>
                          <w:sz w:val="28"/>
                          <w:szCs w:val="28"/>
                          <w:rtl/>
                        </w:rPr>
                      </w:pPr>
                      <w:r>
                        <w:rPr>
                          <w:rFonts w:ascii="Calibri" w:hAnsi="Calibri"/>
                          <w:b/>
                          <w:bCs/>
                          <w:color w:val="000000"/>
                          <w:sz w:val="28"/>
                          <w:szCs w:val="28"/>
                          <w:rtl/>
                        </w:rPr>
                        <w:t>   </w:t>
                      </w:r>
                      <w:r w:rsidRPr="00A13712">
                        <w:rPr>
                          <w:rFonts w:ascii="Calibri" w:hAnsi="Calibri"/>
                          <w:b/>
                          <w:bCs/>
                          <w:color w:val="000000"/>
                          <w:sz w:val="28"/>
                          <w:szCs w:val="28"/>
                          <w:rtl/>
                        </w:rPr>
                        <w:t>             </w:t>
                      </w:r>
                    </w:p>
                    <w:p w:rsidR="00B062CA" w:rsidRPr="008475F9" w:rsidRDefault="00B062CA" w:rsidP="00B062CA">
                      <w:pPr>
                        <w:jc w:val="center"/>
                        <w:rPr>
                          <w:noProof/>
                        </w:rPr>
                      </w:pPr>
                    </w:p>
                  </w:txbxContent>
                </v:textbox>
                <w10:wrap type="square"/>
              </v:shape>
            </w:pict>
          </mc:Fallback>
        </mc:AlternateContent>
      </w:r>
      <w:r w:rsidR="00896F28">
        <w:rPr>
          <w:noProof/>
        </w:rPr>
        <w:drawing>
          <wp:anchor distT="0" distB="0" distL="114300" distR="114300" simplePos="0" relativeHeight="251659263" behindDoc="1" locked="0" layoutInCell="1" allowOverlap="1" wp14:anchorId="4DCA47F5" wp14:editId="64376642">
            <wp:simplePos x="0" y="0"/>
            <wp:positionH relativeFrom="column">
              <wp:posOffset>0</wp:posOffset>
            </wp:positionH>
            <wp:positionV relativeFrom="paragraph">
              <wp:posOffset>0</wp:posOffset>
            </wp:positionV>
            <wp:extent cx="7556500" cy="1068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rasha_Gra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6500" cy="10680700"/>
                    </a:xfrm>
                    <a:prstGeom prst="rect">
                      <a:avLst/>
                    </a:prstGeom>
                  </pic:spPr>
                </pic:pic>
              </a:graphicData>
            </a:graphic>
            <wp14:sizeRelH relativeFrom="page">
              <wp14:pctWidth>0</wp14:pctWidth>
            </wp14:sizeRelH>
            <wp14:sizeRelV relativeFrom="page">
              <wp14:pctHeight>0</wp14:pctHeight>
            </wp14:sizeRelV>
          </wp:anchor>
        </w:drawing>
      </w:r>
    </w:p>
    <w:sectPr w:rsidR="000F759E" w:rsidSect="00176750">
      <w:pgSz w:w="11900" w:h="16840"/>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50"/>
    <w:rsid w:val="000C34E9"/>
    <w:rsid w:val="000F759E"/>
    <w:rsid w:val="00176750"/>
    <w:rsid w:val="00206D5A"/>
    <w:rsid w:val="00331872"/>
    <w:rsid w:val="00355BCA"/>
    <w:rsid w:val="00827CBA"/>
    <w:rsid w:val="00896F28"/>
    <w:rsid w:val="008A35C7"/>
    <w:rsid w:val="008F6D43"/>
    <w:rsid w:val="00B062CA"/>
    <w:rsid w:val="00E07F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1">
    <w:name w:val="D11"/>
    <w:rsid w:val="00355BCA"/>
    <w:pPr>
      <w:bidi/>
      <w:spacing w:line="360" w:lineRule="auto"/>
      <w:jc w:val="both"/>
    </w:pPr>
    <w:rPr>
      <w:rFonts w:ascii="Arial" w:eastAsia="Times New Roman" w:hAnsi="Arial" w:cs="David"/>
      <w:sz w:val="22"/>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11">
    <w:name w:val="D11"/>
    <w:rsid w:val="00355BCA"/>
    <w:pPr>
      <w:bidi/>
      <w:spacing w:line="360" w:lineRule="auto"/>
      <w:jc w:val="both"/>
    </w:pPr>
    <w:rPr>
      <w:rFonts w:ascii="Arial" w:eastAsia="Times New Roman" w:hAnsi="Arial" w:cs="David"/>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B4B72-758E-4705-A8E1-3425FED7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zehavit</cp:lastModifiedBy>
  <cp:revision>2</cp:revision>
  <dcterms:created xsi:type="dcterms:W3CDTF">2018-12-06T08:38:00Z</dcterms:created>
  <dcterms:modified xsi:type="dcterms:W3CDTF">2018-12-06T08:38:00Z</dcterms:modified>
</cp:coreProperties>
</file>