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92" w:rsidRDefault="00635592" w:rsidP="00635592">
      <w:pPr>
        <w:tabs>
          <w:tab w:val="left" w:pos="3430"/>
          <w:tab w:val="center" w:pos="4445"/>
        </w:tabs>
        <w:autoSpaceDE w:val="0"/>
        <w:autoSpaceDN w:val="0"/>
        <w:adjustRightInd w:val="0"/>
        <w:ind w:right="180"/>
        <w:rPr>
          <w:rFonts w:ascii="SBL Hebrew" w:cs="SBL Hebrew" w:hint="cs"/>
          <w:rtl/>
        </w:rPr>
      </w:pPr>
      <w:r>
        <w:rPr>
          <w:rFonts w:ascii="SBL Hebrew" w:cs="SBL Hebrew" w:hint="cs"/>
          <w:rtl/>
        </w:rPr>
        <w:t xml:space="preserve">בס"ד, חשוון </w:t>
      </w:r>
      <w:proofErr w:type="spellStart"/>
      <w:r>
        <w:rPr>
          <w:rFonts w:ascii="SBL Hebrew" w:cs="SBL Hebrew" w:hint="cs"/>
          <w:rtl/>
        </w:rPr>
        <w:t>תש"ף</w:t>
      </w:r>
      <w:proofErr w:type="spellEnd"/>
      <w:r>
        <w:rPr>
          <w:rFonts w:ascii="SBL Hebrew" w:cs="SBL Hebrew"/>
          <w:rtl/>
        </w:rPr>
        <w:tab/>
      </w:r>
      <w:r>
        <w:rPr>
          <w:rFonts w:ascii="SBL Hebrew" w:cs="SBL Hebrew"/>
          <w:rtl/>
        </w:rPr>
        <w:tab/>
      </w:r>
    </w:p>
    <w:p w:rsidR="00635592" w:rsidRDefault="00635592" w:rsidP="00635592">
      <w:pPr>
        <w:tabs>
          <w:tab w:val="left" w:pos="3430"/>
          <w:tab w:val="center" w:pos="4445"/>
        </w:tabs>
        <w:autoSpaceDE w:val="0"/>
        <w:autoSpaceDN w:val="0"/>
        <w:adjustRightInd w:val="0"/>
        <w:ind w:right="180"/>
        <w:rPr>
          <w:rFonts w:ascii="SBL Hebrew" w:cs="SBL Hebrew" w:hint="cs"/>
          <w:rtl/>
        </w:rPr>
      </w:pPr>
    </w:p>
    <w:p w:rsidR="00635592" w:rsidRDefault="00635592" w:rsidP="00635592">
      <w:pPr>
        <w:tabs>
          <w:tab w:val="left" w:pos="3430"/>
          <w:tab w:val="center" w:pos="4445"/>
        </w:tabs>
        <w:autoSpaceDE w:val="0"/>
        <w:autoSpaceDN w:val="0"/>
        <w:adjustRightInd w:val="0"/>
        <w:ind w:right="180"/>
        <w:rPr>
          <w:rFonts w:ascii="SBL Hebrew" w:cs="SBL Hebrew" w:hint="cs"/>
          <w:rtl/>
        </w:rPr>
      </w:pPr>
    </w:p>
    <w:p w:rsidR="00635592" w:rsidRPr="00635592" w:rsidRDefault="00635592" w:rsidP="00635592">
      <w:pPr>
        <w:tabs>
          <w:tab w:val="left" w:pos="3430"/>
          <w:tab w:val="center" w:pos="4445"/>
        </w:tabs>
        <w:autoSpaceDE w:val="0"/>
        <w:autoSpaceDN w:val="0"/>
        <w:adjustRightInd w:val="0"/>
        <w:ind w:right="180"/>
        <w:jc w:val="center"/>
        <w:rPr>
          <w:rFonts w:ascii="SBL Hebrew" w:cs="SBL Hebrew" w:hint="cs"/>
          <w:b/>
          <w:bCs/>
          <w:sz w:val="36"/>
          <w:szCs w:val="36"/>
          <w:rtl/>
        </w:rPr>
      </w:pPr>
      <w:r w:rsidRPr="00635592">
        <w:rPr>
          <w:rFonts w:ascii="SBL Hebrew" w:cs="SBL Hebrew" w:hint="cs"/>
          <w:b/>
          <w:bCs/>
          <w:sz w:val="36"/>
          <w:szCs w:val="36"/>
          <w:rtl/>
        </w:rPr>
        <w:t xml:space="preserve">דבר תורה לפרשת חיי שרה </w:t>
      </w:r>
      <w:r w:rsidRPr="00635592">
        <w:rPr>
          <w:rFonts w:ascii="SBL Hebrew" w:cs="SBL Hebrew"/>
          <w:b/>
          <w:bCs/>
          <w:sz w:val="36"/>
          <w:szCs w:val="36"/>
          <w:rtl/>
        </w:rPr>
        <w:t>–</w:t>
      </w:r>
      <w:r w:rsidRPr="00635592">
        <w:rPr>
          <w:rFonts w:ascii="SBL Hebrew" w:cs="SBL Hebrew" w:hint="cs"/>
          <w:b/>
          <w:bCs/>
          <w:sz w:val="36"/>
          <w:szCs w:val="36"/>
          <w:rtl/>
        </w:rPr>
        <w:t xml:space="preserve"> ד"ר לאה </w:t>
      </w:r>
      <w:proofErr w:type="spellStart"/>
      <w:r w:rsidRPr="00635592">
        <w:rPr>
          <w:rFonts w:ascii="SBL Hebrew" w:cs="SBL Hebrew" w:hint="cs"/>
          <w:b/>
          <w:bCs/>
          <w:sz w:val="36"/>
          <w:szCs w:val="36"/>
          <w:rtl/>
        </w:rPr>
        <w:t>הימלפרב</w:t>
      </w:r>
      <w:proofErr w:type="spellEnd"/>
    </w:p>
    <w:p w:rsidR="00635592" w:rsidRDefault="00635592" w:rsidP="00635592">
      <w:pPr>
        <w:tabs>
          <w:tab w:val="left" w:pos="3430"/>
          <w:tab w:val="center" w:pos="4445"/>
        </w:tabs>
        <w:autoSpaceDE w:val="0"/>
        <w:autoSpaceDN w:val="0"/>
        <w:adjustRightInd w:val="0"/>
        <w:ind w:right="180"/>
        <w:rPr>
          <w:rFonts w:ascii="SBL Hebrew" w:cs="SBL Hebrew" w:hint="cs"/>
          <w:rtl/>
        </w:rPr>
      </w:pPr>
    </w:p>
    <w:p w:rsidR="00635592" w:rsidRDefault="00635592" w:rsidP="00635592">
      <w:pPr>
        <w:tabs>
          <w:tab w:val="left" w:pos="3430"/>
          <w:tab w:val="center" w:pos="4445"/>
        </w:tabs>
        <w:autoSpaceDE w:val="0"/>
        <w:autoSpaceDN w:val="0"/>
        <w:adjustRightInd w:val="0"/>
        <w:ind w:right="180"/>
        <w:rPr>
          <w:rFonts w:ascii="SBL Hebrew" w:cs="SBL Hebrew" w:hint="cs"/>
          <w:rtl/>
        </w:rPr>
      </w:pPr>
    </w:p>
    <w:p w:rsidR="00635592" w:rsidRPr="00635592" w:rsidRDefault="00635592" w:rsidP="00635592">
      <w:pPr>
        <w:tabs>
          <w:tab w:val="left" w:pos="3430"/>
          <w:tab w:val="center" w:pos="4445"/>
        </w:tabs>
        <w:autoSpaceDE w:val="0"/>
        <w:autoSpaceDN w:val="0"/>
        <w:adjustRightInd w:val="0"/>
        <w:ind w:right="180"/>
        <w:jc w:val="center"/>
        <w:rPr>
          <w:rFonts w:ascii="SBL Hebrew" w:cs="SBL Hebrew" w:hint="cs"/>
          <w:b/>
          <w:bCs/>
          <w:sz w:val="32"/>
          <w:szCs w:val="32"/>
          <w:rtl/>
        </w:rPr>
      </w:pPr>
      <w:r w:rsidRPr="00635592">
        <w:rPr>
          <w:rFonts w:ascii="SBL Hebrew" w:cs="SBL Hebrew" w:hint="cs"/>
          <w:b/>
          <w:bCs/>
          <w:sz w:val="32"/>
          <w:szCs w:val="32"/>
          <w:rtl/>
        </w:rPr>
        <w:t>המחנכת שרה אימנו</w:t>
      </w:r>
    </w:p>
    <w:p w:rsidR="00635592" w:rsidRDefault="00635592" w:rsidP="00635592">
      <w:pPr>
        <w:autoSpaceDE w:val="0"/>
        <w:autoSpaceDN w:val="0"/>
        <w:adjustRightInd w:val="0"/>
        <w:spacing w:line="360" w:lineRule="auto"/>
        <w:ind w:right="180"/>
        <w:jc w:val="both"/>
        <w:rPr>
          <w:rFonts w:ascii="SBL Hebrew" w:cs="SBL Hebrew" w:hint="cs"/>
          <w:rtl/>
        </w:rPr>
      </w:pPr>
      <w:bookmarkStart w:id="0" w:name="_GoBack"/>
      <w:bookmarkEnd w:id="0"/>
    </w:p>
    <w:p w:rsidR="00635592" w:rsidRPr="00635592" w:rsidRDefault="00635592" w:rsidP="00635592">
      <w:pPr>
        <w:autoSpaceDE w:val="0"/>
        <w:autoSpaceDN w:val="0"/>
        <w:adjustRightInd w:val="0"/>
        <w:spacing w:line="360" w:lineRule="auto"/>
        <w:ind w:right="180"/>
        <w:jc w:val="both"/>
        <w:rPr>
          <w:rFonts w:ascii="SBL Hebrew" w:cs="SBL Hebrew" w:hint="cs"/>
          <w:sz w:val="28"/>
          <w:szCs w:val="28"/>
        </w:rPr>
      </w:pPr>
      <w:r w:rsidRPr="00635592">
        <w:rPr>
          <w:rFonts w:ascii="SBL Hebrew" w:cs="SBL Hebrew" w:hint="cs"/>
          <w:sz w:val="28"/>
          <w:szCs w:val="28"/>
          <w:rtl/>
        </w:rPr>
        <w:t xml:space="preserve">נתייחס לשתי שאלות העולות מן הכתוב ומהסברם של פרשנים </w:t>
      </w:r>
      <w:proofErr w:type="spellStart"/>
      <w:r w:rsidRPr="00635592">
        <w:rPr>
          <w:rFonts w:ascii="SBL Hebrew" w:cs="SBL Hebrew" w:hint="cs"/>
          <w:sz w:val="28"/>
          <w:szCs w:val="28"/>
          <w:rtl/>
        </w:rPr>
        <w:t>ל"וַיָּבֹא</w:t>
      </w:r>
      <w:proofErr w:type="spellEnd"/>
      <w:r w:rsidRPr="00635592">
        <w:rPr>
          <w:rFonts w:ascii="SBL Hebrew" w:cs="SBL Hebrew" w:hint="cs"/>
          <w:sz w:val="28"/>
          <w:szCs w:val="28"/>
          <w:rtl/>
        </w:rPr>
        <w:t>֙</w:t>
      </w:r>
      <w:r w:rsidRPr="00635592">
        <w:rPr>
          <w:rFonts w:ascii="SBL Hebrew" w:cs="SBL Hebrew" w:hint="cs"/>
          <w:sz w:val="28"/>
          <w:szCs w:val="28"/>
        </w:rPr>
        <w:t xml:space="preserve"> </w:t>
      </w:r>
      <w:r w:rsidRPr="00635592">
        <w:rPr>
          <w:rFonts w:ascii="SBL Hebrew" w:cs="SBL Hebrew" w:hint="cs"/>
          <w:sz w:val="28"/>
          <w:szCs w:val="28"/>
          <w:rtl/>
        </w:rPr>
        <w:t>אַבְרָהָ֔ם</w:t>
      </w:r>
      <w:r w:rsidRPr="00635592">
        <w:rPr>
          <w:rFonts w:ascii="SBL Hebrew" w:cs="SBL Hebrew" w:hint="cs"/>
          <w:sz w:val="28"/>
          <w:szCs w:val="28"/>
        </w:rPr>
        <w:t xml:space="preserve"> </w:t>
      </w:r>
      <w:proofErr w:type="spellStart"/>
      <w:r w:rsidRPr="00635592">
        <w:rPr>
          <w:rFonts w:ascii="SBL Hebrew" w:cs="SBL Hebrew" w:hint="cs"/>
          <w:sz w:val="28"/>
          <w:szCs w:val="28"/>
          <w:rtl/>
        </w:rPr>
        <w:t>לִסְפֹּ֥ד</w:t>
      </w:r>
      <w:proofErr w:type="spellEnd"/>
      <w:r w:rsidRPr="00635592">
        <w:rPr>
          <w:rFonts w:ascii="SBL Hebrew" w:cs="SBL Hebrew" w:hint="cs"/>
          <w:sz w:val="28"/>
          <w:szCs w:val="28"/>
        </w:rPr>
        <w:t xml:space="preserve"> </w:t>
      </w:r>
      <w:proofErr w:type="spellStart"/>
      <w:r w:rsidRPr="00635592">
        <w:rPr>
          <w:rFonts w:ascii="SBL Hebrew" w:cs="SBL Hebrew" w:hint="cs"/>
          <w:sz w:val="28"/>
          <w:szCs w:val="28"/>
          <w:rtl/>
        </w:rPr>
        <w:t>לְשָׂרָ֖ה</w:t>
      </w:r>
      <w:proofErr w:type="spellEnd"/>
      <w:r w:rsidRPr="00635592">
        <w:rPr>
          <w:rFonts w:ascii="SBL Hebrew" w:cs="SBL Hebrew" w:hint="cs"/>
          <w:sz w:val="28"/>
          <w:szCs w:val="28"/>
        </w:rPr>
        <w:t xml:space="preserve"> </w:t>
      </w:r>
      <w:proofErr w:type="spellStart"/>
      <w:r w:rsidRPr="00635592">
        <w:rPr>
          <w:rFonts w:ascii="SBL Hebrew" w:cs="SBL Hebrew" w:hint="cs"/>
          <w:sz w:val="28"/>
          <w:szCs w:val="28"/>
          <w:rtl/>
        </w:rPr>
        <w:t>וְלִבְכֹּתָֽהּ</w:t>
      </w:r>
      <w:proofErr w:type="spellEnd"/>
      <w:r w:rsidRPr="00635592">
        <w:rPr>
          <w:rFonts w:ascii="SBL Hebrew" w:cs="SBL Hebrew" w:hint="cs"/>
          <w:sz w:val="28"/>
          <w:szCs w:val="28"/>
          <w:rtl/>
        </w:rPr>
        <w:t xml:space="preserve">" (בראשית </w:t>
      </w:r>
      <w:proofErr w:type="spellStart"/>
      <w:r w:rsidRPr="00635592">
        <w:rPr>
          <w:rFonts w:ascii="SBL Hebrew" w:cs="SBL Hebrew" w:hint="cs"/>
          <w:sz w:val="28"/>
          <w:szCs w:val="28"/>
          <w:rtl/>
        </w:rPr>
        <w:t>כג</w:t>
      </w:r>
      <w:proofErr w:type="spellEnd"/>
      <w:r w:rsidRPr="00635592">
        <w:rPr>
          <w:rFonts w:ascii="SBL Hebrew" w:cs="SBL Hebrew" w:hint="cs"/>
          <w:sz w:val="28"/>
          <w:szCs w:val="28"/>
          <w:rtl/>
        </w:rPr>
        <w:t>, ב).</w:t>
      </w:r>
    </w:p>
    <w:p w:rsidR="00635592" w:rsidRPr="00635592" w:rsidRDefault="00635592" w:rsidP="00635592">
      <w:pPr>
        <w:spacing w:line="360" w:lineRule="auto"/>
        <w:ind w:right="180"/>
        <w:jc w:val="both"/>
        <w:rPr>
          <w:rFonts w:hint="cs"/>
          <w:sz w:val="28"/>
          <w:szCs w:val="28"/>
          <w:rtl/>
        </w:rPr>
      </w:pPr>
      <w:r w:rsidRPr="00635592">
        <w:rPr>
          <w:rFonts w:hint="cs"/>
          <w:sz w:val="28"/>
          <w:szCs w:val="28"/>
          <w:rtl/>
        </w:rPr>
        <w:t>א. מה בא המדרש ללמדנו כשהוא מציין: "</w:t>
      </w:r>
      <w:r w:rsidRPr="00635592">
        <w:rPr>
          <w:sz w:val="28"/>
          <w:szCs w:val="28"/>
          <w:rtl/>
        </w:rPr>
        <w:t>ויבא אברהם</w:t>
      </w:r>
      <w:r w:rsidRPr="00635592">
        <w:rPr>
          <w:rFonts w:hint="cs"/>
          <w:sz w:val="28"/>
          <w:szCs w:val="28"/>
          <w:rtl/>
        </w:rPr>
        <w:t xml:space="preserve">... </w:t>
      </w:r>
      <w:r w:rsidRPr="00635592">
        <w:rPr>
          <w:sz w:val="28"/>
          <w:szCs w:val="28"/>
          <w:rtl/>
        </w:rPr>
        <w:t>מהיכן בא</w:t>
      </w:r>
      <w:r w:rsidRPr="00635592">
        <w:rPr>
          <w:rFonts w:hint="cs"/>
          <w:sz w:val="28"/>
          <w:szCs w:val="28"/>
          <w:rtl/>
        </w:rPr>
        <w:t>?</w:t>
      </w:r>
      <w:r w:rsidRPr="00635592">
        <w:rPr>
          <w:sz w:val="28"/>
          <w:szCs w:val="28"/>
          <w:rtl/>
        </w:rPr>
        <w:t xml:space="preserve"> מהר המוריה בא</w:t>
      </w:r>
      <w:r w:rsidRPr="00635592">
        <w:rPr>
          <w:rFonts w:hint="cs"/>
          <w:sz w:val="28"/>
          <w:szCs w:val="28"/>
          <w:rtl/>
        </w:rPr>
        <w:t>" (</w:t>
      </w:r>
      <w:r w:rsidRPr="00635592">
        <w:rPr>
          <w:sz w:val="28"/>
          <w:szCs w:val="28"/>
          <w:rtl/>
        </w:rPr>
        <w:t>קהלת רבה</w:t>
      </w:r>
      <w:r w:rsidRPr="00635592">
        <w:rPr>
          <w:rFonts w:hint="cs"/>
          <w:sz w:val="28"/>
          <w:szCs w:val="28"/>
          <w:rtl/>
        </w:rPr>
        <w:t xml:space="preserve"> </w:t>
      </w:r>
      <w:r w:rsidRPr="00635592">
        <w:rPr>
          <w:sz w:val="28"/>
          <w:szCs w:val="28"/>
          <w:rtl/>
        </w:rPr>
        <w:t>פרשה ט</w:t>
      </w:r>
      <w:r w:rsidRPr="00635592">
        <w:rPr>
          <w:rFonts w:hint="cs"/>
          <w:sz w:val="28"/>
          <w:szCs w:val="28"/>
          <w:rtl/>
        </w:rPr>
        <w:t xml:space="preserve">, א). הרי ניכר לכול שהפרשה הקודמת (בראשית </w:t>
      </w:r>
      <w:proofErr w:type="spellStart"/>
      <w:r w:rsidRPr="00635592">
        <w:rPr>
          <w:rFonts w:hint="cs"/>
          <w:sz w:val="28"/>
          <w:szCs w:val="28"/>
          <w:rtl/>
        </w:rPr>
        <w:t>כב</w:t>
      </w:r>
      <w:proofErr w:type="spellEnd"/>
      <w:r w:rsidRPr="00635592">
        <w:rPr>
          <w:rFonts w:hint="cs"/>
          <w:sz w:val="28"/>
          <w:szCs w:val="28"/>
          <w:rtl/>
        </w:rPr>
        <w:t>) עניינה עקידת יצחק בהר המוריה?!</w:t>
      </w:r>
    </w:p>
    <w:p w:rsidR="00635592" w:rsidRPr="00635592" w:rsidRDefault="00635592" w:rsidP="00635592">
      <w:pPr>
        <w:spacing w:line="360" w:lineRule="auto"/>
        <w:ind w:right="180"/>
        <w:jc w:val="both"/>
        <w:rPr>
          <w:rFonts w:hint="cs"/>
          <w:sz w:val="28"/>
          <w:szCs w:val="28"/>
          <w:rtl/>
        </w:rPr>
      </w:pPr>
      <w:r w:rsidRPr="00635592">
        <w:rPr>
          <w:rFonts w:hint="cs"/>
          <w:sz w:val="28"/>
          <w:szCs w:val="28"/>
          <w:rtl/>
        </w:rPr>
        <w:t xml:space="preserve">ב. מהאות כ"ף </w:t>
      </w:r>
      <w:proofErr w:type="spellStart"/>
      <w:r w:rsidRPr="00635592">
        <w:rPr>
          <w:rFonts w:hint="cs"/>
          <w:sz w:val="28"/>
          <w:szCs w:val="28"/>
          <w:rtl/>
        </w:rPr>
        <w:t>הזעירא</w:t>
      </w:r>
      <w:proofErr w:type="spellEnd"/>
      <w:r w:rsidRPr="00635592">
        <w:rPr>
          <w:rFonts w:hint="cs"/>
          <w:sz w:val="28"/>
          <w:szCs w:val="28"/>
          <w:rtl/>
        </w:rPr>
        <w:t xml:space="preserve"> שבמילה "</w:t>
      </w:r>
      <w:proofErr w:type="spellStart"/>
      <w:r w:rsidRPr="00635592">
        <w:rPr>
          <w:rFonts w:ascii="SBL Hebrew" w:cs="SBL Hebrew" w:hint="cs"/>
          <w:sz w:val="28"/>
          <w:szCs w:val="28"/>
          <w:rtl/>
        </w:rPr>
        <w:t>וְלִבְכֹּתָֽהּ</w:t>
      </w:r>
      <w:proofErr w:type="spellEnd"/>
      <w:r w:rsidRPr="00635592">
        <w:rPr>
          <w:rFonts w:ascii="SBL Hebrew" w:cs="SBL Hebrew" w:hint="cs"/>
          <w:sz w:val="28"/>
          <w:szCs w:val="28"/>
          <w:rtl/>
        </w:rPr>
        <w:t>"</w:t>
      </w:r>
      <w:r w:rsidRPr="00635592">
        <w:rPr>
          <w:rFonts w:hint="cs"/>
          <w:sz w:val="28"/>
          <w:szCs w:val="28"/>
          <w:rtl/>
        </w:rPr>
        <w:t xml:space="preserve">, למד בעל הטורים "שלא בכה אלא מעט לפי שזקנה </w:t>
      </w:r>
      <w:proofErr w:type="spellStart"/>
      <w:r w:rsidRPr="00635592">
        <w:rPr>
          <w:rFonts w:hint="cs"/>
          <w:sz w:val="28"/>
          <w:szCs w:val="28"/>
          <w:rtl/>
        </w:rPr>
        <w:t>היתה</w:t>
      </w:r>
      <w:proofErr w:type="spellEnd"/>
      <w:r w:rsidRPr="00635592">
        <w:rPr>
          <w:rFonts w:hint="cs"/>
          <w:sz w:val="28"/>
          <w:szCs w:val="28"/>
          <w:rtl/>
        </w:rPr>
        <w:t>". אולם שרה אימנו שנפטרה בגיל 127 שנים לא הייתה כל כך זקנה, בוודאי לעומת  אברהם שנפטר בגיל 175 שנים!</w:t>
      </w:r>
    </w:p>
    <w:p w:rsidR="00635592" w:rsidRPr="00635592" w:rsidRDefault="00635592" w:rsidP="00635592">
      <w:pPr>
        <w:spacing w:line="360" w:lineRule="auto"/>
        <w:ind w:right="180"/>
        <w:jc w:val="both"/>
        <w:rPr>
          <w:rFonts w:hint="cs"/>
          <w:sz w:val="28"/>
          <w:szCs w:val="28"/>
          <w:rtl/>
        </w:rPr>
      </w:pPr>
      <w:r w:rsidRPr="00635592">
        <w:rPr>
          <w:rFonts w:hint="cs"/>
          <w:sz w:val="28"/>
          <w:szCs w:val="28"/>
          <w:rtl/>
        </w:rPr>
        <w:t>מסביר בעל ה"אמרי א"ש":</w:t>
      </w:r>
      <w:r w:rsidRPr="00635592">
        <w:rPr>
          <w:rStyle w:val="ab"/>
          <w:sz w:val="28"/>
          <w:szCs w:val="28"/>
          <w:rtl/>
        </w:rPr>
        <w:footnoteReference w:id="1"/>
      </w:r>
      <w:r w:rsidRPr="00635592">
        <w:rPr>
          <w:rFonts w:hint="cs"/>
          <w:sz w:val="28"/>
          <w:szCs w:val="28"/>
          <w:rtl/>
        </w:rPr>
        <w:t xml:space="preserve"> </w:t>
      </w:r>
    </w:p>
    <w:p w:rsidR="00635592" w:rsidRPr="00635592" w:rsidRDefault="00635592" w:rsidP="00635592">
      <w:pPr>
        <w:spacing w:line="360" w:lineRule="auto"/>
        <w:ind w:right="180"/>
        <w:jc w:val="both"/>
        <w:rPr>
          <w:rFonts w:hint="cs"/>
          <w:sz w:val="28"/>
          <w:szCs w:val="28"/>
          <w:rtl/>
        </w:rPr>
      </w:pPr>
      <w:r w:rsidRPr="00635592">
        <w:rPr>
          <w:rFonts w:hint="cs"/>
          <w:sz w:val="28"/>
          <w:szCs w:val="28"/>
          <w:rtl/>
        </w:rPr>
        <w:t xml:space="preserve">כידוע, כשמסיים אדם למלא את תפקידו בעולם הזה הוא מסתלק לעולם הבא. תפקידן העיקרי של הנשים בעולם הזה הוא לחנך את הילדים ללכת בדרך ה', ומאריכים את ימיהן עד שמשימתן תושלם.  "ויבא אברהם </w:t>
      </w:r>
      <w:proofErr w:type="spellStart"/>
      <w:r w:rsidRPr="00635592">
        <w:rPr>
          <w:rFonts w:hint="cs"/>
          <w:sz w:val="28"/>
          <w:szCs w:val="28"/>
          <w:rtl/>
        </w:rPr>
        <w:t>לספד</w:t>
      </w:r>
      <w:proofErr w:type="spellEnd"/>
      <w:r w:rsidRPr="00635592">
        <w:rPr>
          <w:rFonts w:hint="cs"/>
          <w:sz w:val="28"/>
          <w:szCs w:val="28"/>
          <w:rtl/>
        </w:rPr>
        <w:t xml:space="preserve"> לשרה"  - כשהמדרש מציין שאברהם בא </w:t>
      </w:r>
      <w:r w:rsidRPr="00635592">
        <w:rPr>
          <w:rFonts w:hint="cs"/>
          <w:sz w:val="28"/>
          <w:szCs w:val="28"/>
          <w:u w:val="single"/>
          <w:rtl/>
        </w:rPr>
        <w:t>מהר המוריה</w:t>
      </w:r>
      <w:r w:rsidRPr="00635592">
        <w:rPr>
          <w:rFonts w:hint="cs"/>
          <w:sz w:val="28"/>
          <w:szCs w:val="28"/>
          <w:rtl/>
        </w:rPr>
        <w:t>, אין הכוונה להורות על מקום התרחשות של העקידה אלא,  ללמדנו על תוכן ההספד של אברהם אבינו על שרה רעייתו: בהר המוריה, ראה אברהם אבינו את מסירות נפשו של יצחק. התנהגותו של יצחק מוכיחה על גדולתה והצלחתה של שרה לחנך את יצחק למסירות נפש ועמידה בניסיון. הווה אומר: שרה אמנו השלימה את משימותיה בעולם הזה. ולכן בעקבות ההספד  באה הפעולה של "</w:t>
      </w:r>
      <w:proofErr w:type="spellStart"/>
      <w:r w:rsidRPr="00635592">
        <w:rPr>
          <w:rFonts w:ascii="SBL Hebrew" w:cs="SBL Hebrew" w:hint="cs"/>
          <w:sz w:val="28"/>
          <w:szCs w:val="28"/>
          <w:rtl/>
        </w:rPr>
        <w:t>וְלִבְכֹּתָֽהּ</w:t>
      </w:r>
      <w:proofErr w:type="spellEnd"/>
      <w:r w:rsidRPr="00635592">
        <w:rPr>
          <w:rFonts w:ascii="SBL Hebrew" w:cs="SBL Hebrew" w:hint="cs"/>
          <w:sz w:val="28"/>
          <w:szCs w:val="28"/>
          <w:rtl/>
        </w:rPr>
        <w:t>"</w:t>
      </w:r>
      <w:r w:rsidRPr="00635592">
        <w:rPr>
          <w:rFonts w:hint="cs"/>
          <w:sz w:val="28"/>
          <w:szCs w:val="28"/>
          <w:rtl/>
        </w:rPr>
        <w:t>, אולם אברהם לא בכה עליה הרבה, משום שהבין שגם את תפקידה בחינוכו של יצחק היא השלימה ועל כן היא עברה לעולם שכולו טוב.</w:t>
      </w:r>
    </w:p>
    <w:p w:rsidR="007D38E6" w:rsidRPr="00635592" w:rsidRDefault="00635592" w:rsidP="00635592">
      <w:pPr>
        <w:spacing w:line="360" w:lineRule="auto"/>
        <w:ind w:right="180"/>
        <w:jc w:val="both"/>
        <w:rPr>
          <w:sz w:val="28"/>
          <w:szCs w:val="28"/>
          <w:rtl/>
        </w:rPr>
      </w:pPr>
      <w:r w:rsidRPr="00635592">
        <w:rPr>
          <w:rFonts w:hint="cs"/>
          <w:sz w:val="28"/>
          <w:szCs w:val="28"/>
          <w:rtl/>
        </w:rPr>
        <w:t>יהי רצון שהקב"ה יאריך את ימינו בטוב כדי שנזכה לחנך לעשות הטוב והישר בעיני ה'.</w:t>
      </w:r>
    </w:p>
    <w:sectPr w:rsidR="007D38E6" w:rsidRPr="00635592"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r>
        <w:separator/>
      </w:r>
    </w:p>
  </w:endnote>
  <w:endnote w:type="continuationSeparator" w:id="0">
    <w:p w:rsidR="002252C7" w:rsidRDefault="002252C7" w:rsidP="000E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BL Hebrew">
    <w:altName w:val="Times New Roman"/>
    <w:charset w:val="B1"/>
    <w:family w:val="auto"/>
    <w:pitch w:val="variable"/>
    <w:sig w:usb0="00000800"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r>
        <w:separator/>
      </w:r>
    </w:p>
  </w:footnote>
  <w:footnote w:type="continuationSeparator" w:id="0">
    <w:p w:rsidR="002252C7" w:rsidRDefault="002252C7" w:rsidP="000E21A0">
      <w:r>
        <w:continuationSeparator/>
      </w:r>
    </w:p>
  </w:footnote>
  <w:footnote w:id="1">
    <w:p w:rsidR="00635592" w:rsidRDefault="00635592" w:rsidP="00635592">
      <w:pPr>
        <w:pStyle w:val="a9"/>
        <w:rPr>
          <w:rFonts w:hint="cs"/>
          <w:rtl/>
        </w:rPr>
      </w:pPr>
      <w:r>
        <w:rPr>
          <w:rStyle w:val="ab"/>
        </w:rPr>
        <w:footnoteRef/>
      </w:r>
      <w:r>
        <w:rPr>
          <w:rtl/>
        </w:rPr>
        <w:t xml:space="preserve"> </w:t>
      </w:r>
      <w:r w:rsidRPr="00FB0E6E">
        <w:rPr>
          <w:rtl/>
        </w:rPr>
        <w:t xml:space="preserve">האדמו"ר </w:t>
      </w:r>
      <w:proofErr w:type="spellStart"/>
      <w:r w:rsidRPr="00FB0E6E">
        <w:rPr>
          <w:rtl/>
        </w:rPr>
        <w:t>ממודז'יץ</w:t>
      </w:r>
      <w:proofErr w:type="spellEnd"/>
      <w:r w:rsidRPr="00FB0E6E">
        <w:rPr>
          <w:rtl/>
        </w:rPr>
        <w:t xml:space="preserve">, רבי שמואל אליהו </w:t>
      </w:r>
      <w:proofErr w:type="spellStart"/>
      <w:r w:rsidRPr="00FB0E6E">
        <w:rPr>
          <w:rtl/>
        </w:rPr>
        <w:t>טאוב</w:t>
      </w:r>
      <w:proofErr w:type="spellEnd"/>
      <w:r w:rsidRPr="00FB0E6E">
        <w:rPr>
          <w:rtl/>
        </w:rPr>
        <w:t xml:space="preserve"> זצוק"ל</w:t>
      </w:r>
      <w:r>
        <w:rPr>
          <w:rFonts w:hint="cs"/>
          <w:rtl/>
        </w:rPr>
        <w:t xml:space="preserve">, אמרי אש, עמ' נו.  [ובסמוך </w:t>
      </w:r>
      <w:proofErr w:type="spellStart"/>
      <w:r>
        <w:rPr>
          <w:rFonts w:hint="cs"/>
          <w:rtl/>
        </w:rPr>
        <w:t>לפ</w:t>
      </w:r>
      <w:proofErr w:type="spellEnd"/>
      <w:r>
        <w:rPr>
          <w:rFonts w:hint="cs"/>
          <w:rtl/>
        </w:rPr>
        <w:t>' חיי-שרה (</w:t>
      </w:r>
      <w:proofErr w:type="spellStart"/>
      <w:r>
        <w:rPr>
          <w:rFonts w:hint="cs"/>
          <w:rtl/>
        </w:rPr>
        <w:t>כג</w:t>
      </w:r>
      <w:proofErr w:type="spellEnd"/>
      <w:r>
        <w:rPr>
          <w:rFonts w:hint="cs"/>
          <w:rtl/>
        </w:rPr>
        <w:t xml:space="preserve"> </w:t>
      </w:r>
      <w:proofErr w:type="spellStart"/>
      <w:r>
        <w:rPr>
          <w:rFonts w:hint="cs"/>
          <w:rtl/>
        </w:rPr>
        <w:t>מרחשון</w:t>
      </w:r>
      <w:proofErr w:type="spellEnd"/>
      <w:r>
        <w:rPr>
          <w:rFonts w:hint="cs"/>
          <w:rtl/>
        </w:rPr>
        <w:t>) חל יום פטירת הרבנית ע"ה].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35592"/>
    <w:rsid w:val="006D154F"/>
    <w:rsid w:val="007D38E6"/>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59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eastAsiaTheme="minorHAnsi"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8">
    <w:name w:val="כותרת תחתונה תו"/>
    <w:basedOn w:val="a0"/>
    <w:link w:val="a7"/>
    <w:uiPriority w:val="99"/>
    <w:rsid w:val="000E21A0"/>
  </w:style>
  <w:style w:type="paragraph" w:styleId="a9">
    <w:name w:val="footnote text"/>
    <w:basedOn w:val="a"/>
    <w:link w:val="aa"/>
    <w:rsid w:val="00635592"/>
    <w:rPr>
      <w:sz w:val="20"/>
      <w:szCs w:val="20"/>
    </w:rPr>
  </w:style>
  <w:style w:type="character" w:customStyle="1" w:styleId="aa">
    <w:name w:val="טקסט הערת שוליים תו"/>
    <w:basedOn w:val="a0"/>
    <w:link w:val="a9"/>
    <w:rsid w:val="00635592"/>
    <w:rPr>
      <w:rFonts w:ascii="Times New Roman" w:eastAsia="Times New Roman" w:hAnsi="Times New Roman" w:cs="Times New Roman"/>
      <w:sz w:val="20"/>
      <w:szCs w:val="20"/>
    </w:rPr>
  </w:style>
  <w:style w:type="character" w:styleId="ab">
    <w:name w:val="footnote reference"/>
    <w:rsid w:val="006355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59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eastAsiaTheme="minorHAnsi"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8">
    <w:name w:val="כותרת תחתונה תו"/>
    <w:basedOn w:val="a0"/>
    <w:link w:val="a7"/>
    <w:uiPriority w:val="99"/>
    <w:rsid w:val="000E21A0"/>
  </w:style>
  <w:style w:type="paragraph" w:styleId="a9">
    <w:name w:val="footnote text"/>
    <w:basedOn w:val="a"/>
    <w:link w:val="aa"/>
    <w:rsid w:val="00635592"/>
    <w:rPr>
      <w:sz w:val="20"/>
      <w:szCs w:val="20"/>
    </w:rPr>
  </w:style>
  <w:style w:type="character" w:customStyle="1" w:styleId="aa">
    <w:name w:val="טקסט הערת שוליים תו"/>
    <w:basedOn w:val="a0"/>
    <w:link w:val="a9"/>
    <w:rsid w:val="00635592"/>
    <w:rPr>
      <w:rFonts w:ascii="Times New Roman" w:eastAsia="Times New Roman" w:hAnsi="Times New Roman" w:cs="Times New Roman"/>
      <w:sz w:val="20"/>
      <w:szCs w:val="20"/>
    </w:rPr>
  </w:style>
  <w:style w:type="character" w:styleId="ab">
    <w:name w:val="footnote reference"/>
    <w:rsid w:val="006355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1126</Characters>
  <Application>Microsoft Office Word</Application>
  <DocSecurity>0</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2019-11-07T10:28:00Z</dcterms:created>
  <dcterms:modified xsi:type="dcterms:W3CDTF">2019-11-07T10:28:00Z</dcterms:modified>
</cp:coreProperties>
</file>