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119" w:rsidRDefault="00297119" w:rsidP="00123DD2">
      <w:pPr>
        <w:bidi w:val="0"/>
        <w:jc w:val="center"/>
        <w:rPr>
          <w:rFonts w:ascii="Gisha" w:hAnsi="Gisha" w:cs="Gisha" w:hint="cs"/>
          <w:b/>
          <w:bCs/>
          <w:color w:val="31849B"/>
          <w:sz w:val="44"/>
          <w:szCs w:val="44"/>
          <w:rtl/>
        </w:rPr>
      </w:pPr>
      <w:r>
        <w:rPr>
          <w:rtl/>
        </w:rPr>
        <w:t xml:space="preserve">   </w:t>
      </w:r>
      <w:r>
        <w:rPr>
          <w:rFonts w:ascii="Gisha" w:hAnsi="Gisha" w:cs="Gisha"/>
          <w:b/>
          <w:bCs/>
          <w:color w:val="31849B"/>
          <w:sz w:val="44"/>
          <w:szCs w:val="44"/>
          <w:rtl/>
        </w:rPr>
        <w:t>דברי תורה ל</w:t>
      </w:r>
      <w:r w:rsidR="00123DD2">
        <w:rPr>
          <w:rFonts w:ascii="Gisha" w:hAnsi="Gisha" w:cs="Gisha" w:hint="cs"/>
          <w:b/>
          <w:bCs/>
          <w:color w:val="31849B"/>
          <w:sz w:val="44"/>
          <w:szCs w:val="44"/>
          <w:rtl/>
        </w:rPr>
        <w:t>חנוכה</w:t>
      </w:r>
    </w:p>
    <w:p w:rsidR="00297119" w:rsidRDefault="00297119" w:rsidP="00123DD2">
      <w:pPr>
        <w:bidi w:val="0"/>
        <w:spacing w:line="480" w:lineRule="auto"/>
        <w:jc w:val="center"/>
        <w:rPr>
          <w:rFonts w:ascii="Gisha" w:hAnsi="Gisha" w:cs="Gisha"/>
          <w:b/>
          <w:bCs/>
          <w:color w:val="31849B"/>
          <w:sz w:val="32"/>
          <w:szCs w:val="32"/>
        </w:rPr>
      </w:pPr>
      <w:r>
        <w:rPr>
          <w:rFonts w:ascii="Gisha" w:hAnsi="Gisha" w:cs="Gisha"/>
          <w:b/>
          <w:bCs/>
          <w:sz w:val="32"/>
          <w:szCs w:val="32"/>
          <w:rtl/>
        </w:rPr>
        <w:t xml:space="preserve">מאת </w:t>
      </w:r>
      <w:r w:rsidR="00123DD2">
        <w:rPr>
          <w:rFonts w:ascii="Gisha" w:hAnsi="Gisha" w:cs="Gisha" w:hint="cs"/>
          <w:b/>
          <w:bCs/>
          <w:sz w:val="32"/>
          <w:szCs w:val="32"/>
          <w:rtl/>
        </w:rPr>
        <w:t>ד"ר מירב (</w:t>
      </w:r>
      <w:proofErr w:type="spellStart"/>
      <w:r w:rsidR="00123DD2">
        <w:rPr>
          <w:rFonts w:ascii="Gisha" w:hAnsi="Gisha" w:cs="Gisha" w:hint="cs"/>
          <w:b/>
          <w:bCs/>
          <w:sz w:val="32"/>
          <w:szCs w:val="32"/>
          <w:rtl/>
        </w:rPr>
        <w:t>טובול</w:t>
      </w:r>
      <w:proofErr w:type="spellEnd"/>
      <w:r w:rsidR="00123DD2">
        <w:rPr>
          <w:rFonts w:ascii="Gisha" w:hAnsi="Gisha" w:cs="Gisha" w:hint="cs"/>
          <w:b/>
          <w:bCs/>
          <w:sz w:val="32"/>
          <w:szCs w:val="32"/>
          <w:rtl/>
        </w:rPr>
        <w:t>)</w:t>
      </w:r>
      <w:bookmarkStart w:id="0" w:name="_GoBack"/>
      <w:bookmarkEnd w:id="0"/>
      <w:r w:rsidR="00123DD2">
        <w:rPr>
          <w:rFonts w:ascii="Gisha" w:hAnsi="Gisha" w:cs="Gisha" w:hint="cs"/>
          <w:b/>
          <w:bCs/>
          <w:sz w:val="32"/>
          <w:szCs w:val="32"/>
          <w:rtl/>
        </w:rPr>
        <w:t xml:space="preserve"> כהנא</w:t>
      </w:r>
    </w:p>
    <w:p w:rsidR="00793C1E" w:rsidRDefault="00297119">
      <w:pPr>
        <w:rPr>
          <w:rtl/>
        </w:rPr>
      </w:pPr>
      <w:r>
        <w:rPr>
          <w:noProof/>
        </w:rPr>
        <w:drawing>
          <wp:inline distT="0" distB="0" distL="0" distR="0" wp14:anchorId="5033DBA8" wp14:editId="3524EA19">
            <wp:extent cx="5274310" cy="3507416"/>
            <wp:effectExtent l="0" t="0" r="2540" b="0"/>
            <wp:docPr id="1" name="Picture 1" descr="תוצאת תמונה עבור ספר תו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ספר תורה"/>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507416"/>
                    </a:xfrm>
                    <a:prstGeom prst="rect">
                      <a:avLst/>
                    </a:prstGeom>
                    <a:noFill/>
                    <a:ln>
                      <a:noFill/>
                    </a:ln>
                  </pic:spPr>
                </pic:pic>
              </a:graphicData>
            </a:graphic>
          </wp:inline>
        </w:drawing>
      </w:r>
    </w:p>
    <w:p w:rsidR="00297119" w:rsidRDefault="00297119">
      <w:pPr>
        <w:rPr>
          <w:rtl/>
        </w:rPr>
      </w:pPr>
    </w:p>
    <w:p w:rsidR="00EA3791" w:rsidRPr="00BB6A10" w:rsidRDefault="00EA3791" w:rsidP="00EA3791">
      <w:pPr>
        <w:pStyle w:val="a"/>
        <w:ind w:firstLine="0"/>
        <w:rPr>
          <w:rFonts w:cs="David"/>
          <w:rtl/>
        </w:rPr>
      </w:pPr>
      <w:r>
        <w:rPr>
          <w:rFonts w:cs="David" w:hint="cs"/>
          <w:rtl/>
        </w:rPr>
        <w:t xml:space="preserve">   </w:t>
      </w:r>
    </w:p>
    <w:p w:rsidR="00123DD2" w:rsidRPr="00B90B29" w:rsidRDefault="00123DD2" w:rsidP="00123DD2">
      <w:pPr>
        <w:widowControl w:val="0"/>
        <w:spacing w:line="360" w:lineRule="auto"/>
        <w:jc w:val="center"/>
        <w:rPr>
          <w:rFonts w:cs="David"/>
          <w:b/>
          <w:bCs/>
          <w:sz w:val="24"/>
          <w:szCs w:val="24"/>
          <w:rtl/>
        </w:rPr>
      </w:pPr>
      <w:r w:rsidRPr="00B90B29">
        <w:rPr>
          <w:rFonts w:cs="David" w:hint="cs"/>
          <w:b/>
          <w:bCs/>
          <w:sz w:val="24"/>
          <w:szCs w:val="24"/>
          <w:rtl/>
        </w:rPr>
        <w:t>אישה מדליקה (?!)</w:t>
      </w:r>
    </w:p>
    <w:p w:rsidR="00123DD2" w:rsidRPr="00B90B29" w:rsidRDefault="00123DD2" w:rsidP="00123DD2">
      <w:pPr>
        <w:widowControl w:val="0"/>
        <w:spacing w:line="360" w:lineRule="auto"/>
        <w:jc w:val="both"/>
        <w:rPr>
          <w:rFonts w:cs="David"/>
          <w:sz w:val="24"/>
          <w:szCs w:val="24"/>
          <w:rtl/>
        </w:rPr>
      </w:pPr>
      <w:r w:rsidRPr="00B90B29">
        <w:rPr>
          <w:rFonts w:cs="David" w:hint="cs"/>
          <w:sz w:val="24"/>
          <w:szCs w:val="24"/>
          <w:rtl/>
        </w:rPr>
        <w:t>אנחנו בפתחם של ימי החנוכה, שיבואו עלינו אי"ה לטובה. בבתים רבים נהוג שנשים אינן מדליקות נר חנוכה, אם כי במקומות אחרים נהוג שאישה מדליקה. ברצוני לבחון שאלה זו ולעמוד על שורשי המנהג. הגמרא בשבת (</w:t>
      </w:r>
      <w:proofErr w:type="spellStart"/>
      <w:r w:rsidRPr="00B90B29">
        <w:rPr>
          <w:rFonts w:cs="David" w:hint="cs"/>
          <w:sz w:val="24"/>
          <w:szCs w:val="24"/>
          <w:rtl/>
        </w:rPr>
        <w:t>כג</w:t>
      </w:r>
      <w:proofErr w:type="spellEnd"/>
      <w:r w:rsidRPr="00B90B29">
        <w:rPr>
          <w:rFonts w:cs="David" w:hint="cs"/>
          <w:sz w:val="24"/>
          <w:szCs w:val="24"/>
          <w:rtl/>
        </w:rPr>
        <w:t xml:space="preserve"> ע"א) מביאה את קביעתו של </w:t>
      </w:r>
      <w:proofErr w:type="spellStart"/>
      <w:r w:rsidRPr="00B90B29">
        <w:rPr>
          <w:rFonts w:cs="David" w:hint="cs"/>
          <w:sz w:val="24"/>
          <w:szCs w:val="24"/>
          <w:rtl/>
        </w:rPr>
        <w:t>ריב"ל</w:t>
      </w:r>
      <w:proofErr w:type="spellEnd"/>
      <w:r w:rsidRPr="00B90B29">
        <w:rPr>
          <w:rFonts w:cs="David" w:hint="cs"/>
          <w:sz w:val="24"/>
          <w:szCs w:val="24"/>
          <w:rtl/>
        </w:rPr>
        <w:t xml:space="preserve"> שנשים חייבות בנר חנוכה, שאף הן היו באותו הנס. משמעות הקביעה היא שאע"פ שבד"כ נשים פטורות ממצוות עשה שהזמן </w:t>
      </w:r>
      <w:proofErr w:type="spellStart"/>
      <w:r w:rsidRPr="00B90B29">
        <w:rPr>
          <w:rFonts w:cs="David" w:hint="cs"/>
          <w:sz w:val="24"/>
          <w:szCs w:val="24"/>
          <w:rtl/>
        </w:rPr>
        <w:t>גרמא</w:t>
      </w:r>
      <w:proofErr w:type="spellEnd"/>
      <w:r w:rsidRPr="00B90B29">
        <w:rPr>
          <w:rFonts w:cs="David" w:hint="cs"/>
          <w:sz w:val="24"/>
          <w:szCs w:val="24"/>
          <w:rtl/>
        </w:rPr>
        <w:t>, בנר חנוכה הן חייבות, הואיל והן היו באותו הנס.</w:t>
      </w:r>
      <w:r w:rsidRPr="00B90B29">
        <w:rPr>
          <w:rStyle w:val="FootnoteReference"/>
          <w:rFonts w:cs="David"/>
          <w:sz w:val="24"/>
          <w:szCs w:val="24"/>
          <w:rtl/>
        </w:rPr>
        <w:footnoteReference w:id="1"/>
      </w:r>
    </w:p>
    <w:p w:rsidR="00123DD2" w:rsidRPr="00B90B29" w:rsidRDefault="00123DD2" w:rsidP="00123DD2">
      <w:pPr>
        <w:widowControl w:val="0"/>
        <w:spacing w:line="360" w:lineRule="auto"/>
        <w:jc w:val="both"/>
        <w:rPr>
          <w:rFonts w:cs="David"/>
          <w:sz w:val="24"/>
          <w:szCs w:val="24"/>
          <w:rtl/>
        </w:rPr>
      </w:pPr>
      <w:r w:rsidRPr="00B90B29">
        <w:rPr>
          <w:rFonts w:cs="David" w:hint="cs"/>
          <w:sz w:val="24"/>
          <w:szCs w:val="24"/>
          <w:rtl/>
        </w:rPr>
        <w:t>קיימת מחלוקת ידועה בראשונים כיצד להבין את דין 'המהדרין מן המהדרין' בהדלקת נר חנוכה, וממחלוקת זו משתלשל השוני בין המנהג הספרדי לאשכנזי: במנהג הספרדי יש הדלקה אחת עבור כל בני הבית, ואילו באשכנזי כל אחד מבני הבית מדליק (</w:t>
      </w:r>
      <w:proofErr w:type="spellStart"/>
      <w:r w:rsidRPr="00B90B29">
        <w:rPr>
          <w:rFonts w:cs="David" w:hint="cs"/>
          <w:sz w:val="24"/>
          <w:szCs w:val="24"/>
          <w:rtl/>
        </w:rPr>
        <w:t>שו"ע</w:t>
      </w:r>
      <w:proofErr w:type="spellEnd"/>
      <w:r w:rsidRPr="00B90B29">
        <w:rPr>
          <w:rFonts w:cs="David" w:hint="cs"/>
          <w:sz w:val="24"/>
          <w:szCs w:val="24"/>
          <w:rtl/>
        </w:rPr>
        <w:t xml:space="preserve"> </w:t>
      </w:r>
      <w:proofErr w:type="spellStart"/>
      <w:r w:rsidRPr="00B90B29">
        <w:rPr>
          <w:rFonts w:cs="David" w:hint="cs"/>
          <w:sz w:val="24"/>
          <w:szCs w:val="24"/>
          <w:rtl/>
        </w:rPr>
        <w:t>ורמ"א</w:t>
      </w:r>
      <w:proofErr w:type="spellEnd"/>
      <w:r w:rsidRPr="00B90B29">
        <w:rPr>
          <w:rFonts w:cs="David" w:hint="cs"/>
          <w:sz w:val="24"/>
          <w:szCs w:val="24"/>
          <w:rtl/>
        </w:rPr>
        <w:t xml:space="preserve"> </w:t>
      </w:r>
      <w:proofErr w:type="spellStart"/>
      <w:r w:rsidRPr="00B90B29">
        <w:rPr>
          <w:rFonts w:cs="David" w:hint="cs"/>
          <w:sz w:val="24"/>
          <w:szCs w:val="24"/>
          <w:rtl/>
        </w:rPr>
        <w:t>או"ח</w:t>
      </w:r>
      <w:proofErr w:type="spellEnd"/>
      <w:r w:rsidRPr="00B90B29">
        <w:rPr>
          <w:rFonts w:cs="David" w:hint="cs"/>
          <w:sz w:val="24"/>
          <w:szCs w:val="24"/>
          <w:rtl/>
        </w:rPr>
        <w:t xml:space="preserve"> תרע"א, ב). הנה ברור שבבית הספרדי הנשים והבנות אינן מדליקות, הואיל וישנה הדלקה אחת לכל בני הבית. אולם ביחס לבית האשכנזי, שבו תפיסת המהדרין מן המהדרין, היא הדלקה לכל אחד ואחד, יש לשאול מדוע </w:t>
      </w:r>
      <w:r w:rsidRPr="00B90B29">
        <w:rPr>
          <w:rFonts w:cs="David" w:hint="cs"/>
          <w:sz w:val="24"/>
          <w:szCs w:val="24"/>
          <w:rtl/>
        </w:rPr>
        <w:lastRenderedPageBreak/>
        <w:t>המנהג הרווח הוא שהנשים והבנות אינן מדליקות.</w:t>
      </w:r>
      <w:r w:rsidRPr="00B90B29">
        <w:rPr>
          <w:rStyle w:val="FootnoteReference"/>
          <w:rFonts w:cs="David"/>
          <w:sz w:val="24"/>
          <w:szCs w:val="24"/>
          <w:rtl/>
        </w:rPr>
        <w:footnoteReference w:id="2"/>
      </w:r>
      <w:r w:rsidRPr="00B90B29">
        <w:rPr>
          <w:rFonts w:cs="David" w:hint="cs"/>
          <w:sz w:val="24"/>
          <w:szCs w:val="24"/>
          <w:rtl/>
        </w:rPr>
        <w:t xml:space="preserve"> </w:t>
      </w:r>
    </w:p>
    <w:p w:rsidR="00123DD2" w:rsidRPr="00B90B29" w:rsidRDefault="00123DD2" w:rsidP="00123DD2">
      <w:pPr>
        <w:widowControl w:val="0"/>
        <w:autoSpaceDE w:val="0"/>
        <w:autoSpaceDN w:val="0"/>
        <w:adjustRightInd w:val="0"/>
        <w:spacing w:line="360" w:lineRule="auto"/>
        <w:jc w:val="both"/>
        <w:rPr>
          <w:rFonts w:cs="David"/>
          <w:sz w:val="24"/>
          <w:szCs w:val="24"/>
          <w:rtl/>
        </w:rPr>
      </w:pPr>
      <w:r w:rsidRPr="00B90B29">
        <w:rPr>
          <w:rFonts w:cs="David" w:hint="cs"/>
          <w:sz w:val="24"/>
          <w:szCs w:val="24"/>
          <w:rtl/>
        </w:rPr>
        <w:t xml:space="preserve">האחרונים ציטטו את </w:t>
      </w:r>
      <w:proofErr w:type="spellStart"/>
      <w:r w:rsidRPr="00B90B29">
        <w:rPr>
          <w:rFonts w:cs="David" w:hint="cs"/>
          <w:sz w:val="24"/>
          <w:szCs w:val="24"/>
          <w:rtl/>
        </w:rPr>
        <w:t>הרש"ל</w:t>
      </w:r>
      <w:proofErr w:type="spellEnd"/>
      <w:r w:rsidRPr="00B90B29">
        <w:rPr>
          <w:rFonts w:cs="David" w:hint="cs"/>
          <w:sz w:val="24"/>
          <w:szCs w:val="24"/>
          <w:rtl/>
        </w:rPr>
        <w:t xml:space="preserve"> </w:t>
      </w:r>
      <w:proofErr w:type="spellStart"/>
      <w:r w:rsidRPr="00B90B29">
        <w:rPr>
          <w:rFonts w:cs="David" w:hint="cs"/>
          <w:sz w:val="24"/>
          <w:szCs w:val="24"/>
          <w:rtl/>
        </w:rPr>
        <w:t>והאליה</w:t>
      </w:r>
      <w:proofErr w:type="spellEnd"/>
      <w:r w:rsidRPr="00B90B29">
        <w:rPr>
          <w:rFonts w:cs="David" w:hint="cs"/>
          <w:sz w:val="24"/>
          <w:szCs w:val="24"/>
          <w:rtl/>
        </w:rPr>
        <w:t xml:space="preserve"> רבה, שאישה אינה מדליקה הואיל ואשתו כגופו (שער הציון, שם, י). </w:t>
      </w:r>
      <w:r>
        <w:rPr>
          <w:rFonts w:cs="David" w:hint="cs"/>
          <w:sz w:val="24"/>
          <w:szCs w:val="24"/>
          <w:rtl/>
        </w:rPr>
        <w:t>הם הקשו על הטעם הזה שבכוחו לה</w:t>
      </w:r>
      <w:r w:rsidRPr="00B90B29">
        <w:rPr>
          <w:rFonts w:cs="David" w:hint="cs"/>
          <w:sz w:val="24"/>
          <w:szCs w:val="24"/>
          <w:rtl/>
        </w:rPr>
        <w:t xml:space="preserve">סביר מדוע הנשים הנשואות אינן מדליקות, אך אין בכוחו להסביר מדוע הבנות אינן מדליקות (מקראי קודש, חנוכה, סימן יד). המרא דאתרא שלנו, הרב אריאל מתרץ </w:t>
      </w:r>
      <w:r>
        <w:rPr>
          <w:rFonts w:cs="David" w:hint="cs"/>
          <w:sz w:val="24"/>
          <w:szCs w:val="24"/>
          <w:rtl/>
        </w:rPr>
        <w:t xml:space="preserve">הקושיה </w:t>
      </w:r>
      <w:r w:rsidRPr="00B90B29">
        <w:rPr>
          <w:rFonts w:cs="David" w:hint="cs"/>
          <w:sz w:val="24"/>
          <w:szCs w:val="24"/>
          <w:rtl/>
        </w:rPr>
        <w:t>כך: "שעיקר תפקודו של האדם הוא כשהוא נשוי, ורווקותו אינה אלא זמנית, ולכן לא חייבו אדם במצוות שיקיים בתקופת רווקותו בלבד".</w:t>
      </w:r>
      <w:r w:rsidRPr="00B90B29">
        <w:rPr>
          <w:rStyle w:val="FootnoteReference"/>
          <w:rFonts w:cs="David"/>
          <w:sz w:val="24"/>
          <w:szCs w:val="24"/>
          <w:rtl/>
        </w:rPr>
        <w:footnoteReference w:id="3"/>
      </w:r>
      <w:r w:rsidRPr="00B90B29">
        <w:rPr>
          <w:rFonts w:cs="David" w:hint="cs"/>
          <w:sz w:val="24"/>
          <w:szCs w:val="24"/>
          <w:rtl/>
        </w:rPr>
        <w:t xml:space="preserve"> </w:t>
      </w:r>
    </w:p>
    <w:p w:rsidR="00123DD2" w:rsidRPr="00B90B29" w:rsidRDefault="00123DD2" w:rsidP="00123DD2">
      <w:pPr>
        <w:widowControl w:val="0"/>
        <w:spacing w:line="360" w:lineRule="auto"/>
        <w:jc w:val="both"/>
        <w:rPr>
          <w:rFonts w:ascii="ResponsaTTF" w:cs="David"/>
          <w:color w:val="000000"/>
          <w:sz w:val="24"/>
          <w:szCs w:val="24"/>
        </w:rPr>
      </w:pPr>
      <w:proofErr w:type="spellStart"/>
      <w:r w:rsidRPr="00B90B29">
        <w:rPr>
          <w:rFonts w:cs="David" w:hint="cs"/>
          <w:sz w:val="24"/>
          <w:szCs w:val="24"/>
          <w:rtl/>
        </w:rPr>
        <w:t>העולת</w:t>
      </w:r>
      <w:proofErr w:type="spellEnd"/>
      <w:r w:rsidRPr="00B90B29">
        <w:rPr>
          <w:rFonts w:cs="David" w:hint="cs"/>
          <w:sz w:val="24"/>
          <w:szCs w:val="24"/>
          <w:rtl/>
        </w:rPr>
        <w:t xml:space="preserve"> שמואל (סימן כה) טוען שזה נימוק דחוק,</w:t>
      </w:r>
      <w:r w:rsidRPr="00B90B29">
        <w:rPr>
          <w:rStyle w:val="FootnoteReference"/>
          <w:rFonts w:cs="David"/>
          <w:sz w:val="24"/>
          <w:szCs w:val="24"/>
          <w:rtl/>
        </w:rPr>
        <w:footnoteReference w:id="4"/>
      </w:r>
      <w:r w:rsidRPr="00B90B29">
        <w:rPr>
          <w:rFonts w:cs="David" w:hint="cs"/>
          <w:sz w:val="24"/>
          <w:szCs w:val="24"/>
          <w:rtl/>
        </w:rPr>
        <w:t xml:space="preserve"> והוא מחדש שיש הבדל בין גברים ונשים בח</w:t>
      </w:r>
      <w:r>
        <w:rPr>
          <w:rFonts w:cs="David" w:hint="cs"/>
          <w:sz w:val="24"/>
          <w:szCs w:val="24"/>
          <w:rtl/>
        </w:rPr>
        <w:t>יוב בנר חנוכה, הבדל שנעוץ באירוע</w:t>
      </w:r>
      <w:r w:rsidRPr="00B90B29">
        <w:rPr>
          <w:rFonts w:cs="David" w:hint="cs"/>
          <w:sz w:val="24"/>
          <w:szCs w:val="24"/>
          <w:rtl/>
        </w:rPr>
        <w:t xml:space="preserve"> ההיסטורי. גזרת היוונים כלפי הגברים הייתה שמד רוחני, ולכן הגברים התחייבו למסור נפשם ולא לעבור על דתם. לעומת זאת הגזרה ביחס לנשים הייתה "שתיבעל לטפסר תחילה", וביחס לכך אין חובה הלכתית של מסירת הנפש. בעקבות חידוש זה הוא מסיק שגברים ונשים אמנם שווים בעיקר הדין בנר </w:t>
      </w:r>
      <w:r w:rsidRPr="00B90B29">
        <w:rPr>
          <w:rFonts w:ascii="ResponsaTTF" w:cs="David" w:hint="cs"/>
          <w:color w:val="000000"/>
          <w:sz w:val="24"/>
          <w:szCs w:val="24"/>
          <w:rtl/>
        </w:rPr>
        <w:t>חנוכה, אולם ברמת המהדרין הנשים "טפלות לאנשים".</w:t>
      </w:r>
    </w:p>
    <w:p w:rsidR="00123DD2" w:rsidRPr="00B90B29" w:rsidRDefault="00123DD2" w:rsidP="00123DD2">
      <w:pPr>
        <w:widowControl w:val="0"/>
        <w:autoSpaceDE w:val="0"/>
        <w:autoSpaceDN w:val="0"/>
        <w:adjustRightInd w:val="0"/>
        <w:spacing w:line="360" w:lineRule="auto"/>
        <w:jc w:val="both"/>
        <w:rPr>
          <w:rFonts w:ascii="ResponsaTTF" w:cs="David"/>
          <w:color w:val="000000"/>
          <w:sz w:val="24"/>
          <w:szCs w:val="24"/>
          <w:rtl/>
        </w:rPr>
      </w:pPr>
      <w:r w:rsidRPr="00B90B29">
        <w:rPr>
          <w:rFonts w:ascii="ResponsaTTF" w:cs="David" w:hint="cs"/>
          <w:color w:val="000000"/>
          <w:sz w:val="24"/>
          <w:szCs w:val="24"/>
          <w:rtl/>
        </w:rPr>
        <w:t>החתם סופר (שבת שם) מעלה נימוק אחד הכולל גם נשים נשואות וגם פנויות, ועיקרו הוא עניין הצניעות. לדבריו, הואיל ובתחילה ההדלקה הייתה מחוץ לבית, נשים לא השתתפו בהדלקה, "</w:t>
      </w:r>
      <w:r w:rsidRPr="00B90B29">
        <w:rPr>
          <w:rFonts w:ascii="ResponsaTTF" w:cs="David" w:hint="eastAsia"/>
          <w:color w:val="000000"/>
          <w:sz w:val="24"/>
          <w:szCs w:val="24"/>
          <w:rtl/>
        </w:rPr>
        <w:t>כי</w:t>
      </w:r>
      <w:r w:rsidRPr="00B90B29">
        <w:rPr>
          <w:rFonts w:ascii="ResponsaTTF" w:cs="David"/>
          <w:color w:val="000000"/>
          <w:sz w:val="24"/>
          <w:szCs w:val="24"/>
          <w:rtl/>
        </w:rPr>
        <w:t xml:space="preserve"> </w:t>
      </w:r>
      <w:r w:rsidRPr="00B90B29">
        <w:rPr>
          <w:rFonts w:ascii="ResponsaTTF" w:cs="David" w:hint="eastAsia"/>
          <w:color w:val="000000"/>
          <w:sz w:val="24"/>
          <w:szCs w:val="24"/>
          <w:rtl/>
        </w:rPr>
        <w:t>אין</w:t>
      </w:r>
      <w:r w:rsidRPr="00B90B29">
        <w:rPr>
          <w:rFonts w:ascii="ResponsaTTF" w:cs="David"/>
          <w:color w:val="000000"/>
          <w:sz w:val="24"/>
          <w:szCs w:val="24"/>
          <w:rtl/>
        </w:rPr>
        <w:t xml:space="preserve"> </w:t>
      </w:r>
      <w:r w:rsidRPr="00B90B29">
        <w:rPr>
          <w:rFonts w:ascii="ResponsaTTF" w:cs="David" w:hint="eastAsia"/>
          <w:color w:val="000000"/>
          <w:sz w:val="24"/>
          <w:szCs w:val="24"/>
          <w:rtl/>
        </w:rPr>
        <w:t>כבודה</w:t>
      </w:r>
      <w:r w:rsidRPr="00B90B29">
        <w:rPr>
          <w:rFonts w:ascii="ResponsaTTF" w:cs="David"/>
          <w:color w:val="000000"/>
          <w:sz w:val="24"/>
          <w:szCs w:val="24"/>
          <w:rtl/>
        </w:rPr>
        <w:t xml:space="preserve"> </w:t>
      </w:r>
      <w:r w:rsidRPr="00B90B29">
        <w:rPr>
          <w:rFonts w:ascii="ResponsaTTF" w:cs="David" w:hint="eastAsia"/>
          <w:color w:val="000000"/>
          <w:sz w:val="24"/>
          <w:szCs w:val="24"/>
          <w:rtl/>
        </w:rPr>
        <w:t>לצאת</w:t>
      </w:r>
      <w:r w:rsidRPr="00B90B29">
        <w:rPr>
          <w:rFonts w:ascii="ResponsaTTF" w:cs="David"/>
          <w:color w:val="000000"/>
          <w:sz w:val="24"/>
          <w:szCs w:val="24"/>
          <w:rtl/>
        </w:rPr>
        <w:t xml:space="preserve"> </w:t>
      </w:r>
      <w:r w:rsidRPr="00B90B29">
        <w:rPr>
          <w:rFonts w:ascii="ResponsaTTF" w:cs="David" w:hint="eastAsia"/>
          <w:color w:val="000000"/>
          <w:sz w:val="24"/>
          <w:szCs w:val="24"/>
          <w:rtl/>
        </w:rPr>
        <w:t>בחוץ</w:t>
      </w:r>
      <w:r w:rsidRPr="00B90B29">
        <w:rPr>
          <w:rFonts w:ascii="ResponsaTTF" w:cs="David"/>
          <w:color w:val="000000"/>
          <w:sz w:val="24"/>
          <w:szCs w:val="24"/>
          <w:rtl/>
        </w:rPr>
        <w:t xml:space="preserve"> </w:t>
      </w:r>
      <w:r w:rsidRPr="00B90B29">
        <w:rPr>
          <w:rFonts w:ascii="ResponsaTTF" w:cs="David" w:hint="eastAsia"/>
          <w:color w:val="000000"/>
          <w:sz w:val="24"/>
          <w:szCs w:val="24"/>
          <w:rtl/>
        </w:rPr>
        <w:t>בר</w:t>
      </w:r>
      <w:r w:rsidRPr="00B90B29">
        <w:rPr>
          <w:rFonts w:ascii="ResponsaTTF" w:cs="David" w:hint="cs"/>
          <w:color w:val="000000"/>
          <w:sz w:val="24"/>
          <w:szCs w:val="24"/>
          <w:rtl/>
        </w:rPr>
        <w:t xml:space="preserve">שות </w:t>
      </w:r>
      <w:r w:rsidRPr="00B90B29">
        <w:rPr>
          <w:rFonts w:ascii="ResponsaTTF" w:cs="David" w:hint="eastAsia"/>
          <w:color w:val="000000"/>
          <w:sz w:val="24"/>
          <w:szCs w:val="24"/>
          <w:rtl/>
        </w:rPr>
        <w:t>ה</w:t>
      </w:r>
      <w:r w:rsidRPr="00B90B29">
        <w:rPr>
          <w:rFonts w:ascii="ResponsaTTF" w:cs="David" w:hint="cs"/>
          <w:color w:val="000000"/>
          <w:sz w:val="24"/>
          <w:szCs w:val="24"/>
          <w:rtl/>
        </w:rPr>
        <w:t>רבים</w:t>
      </w:r>
      <w:r w:rsidRPr="00B90B29">
        <w:rPr>
          <w:rFonts w:ascii="ResponsaTTF" w:cs="David"/>
          <w:color w:val="000000"/>
          <w:sz w:val="24"/>
          <w:szCs w:val="24"/>
          <w:rtl/>
        </w:rPr>
        <w:t xml:space="preserve"> </w:t>
      </w:r>
      <w:proofErr w:type="spellStart"/>
      <w:r w:rsidRPr="00B90B29">
        <w:rPr>
          <w:rFonts w:ascii="ResponsaTTF" w:cs="David" w:hint="eastAsia"/>
          <w:color w:val="000000"/>
          <w:sz w:val="24"/>
          <w:szCs w:val="24"/>
          <w:rtl/>
        </w:rPr>
        <w:t>לעתותי</w:t>
      </w:r>
      <w:proofErr w:type="spellEnd"/>
      <w:r w:rsidRPr="00B90B29">
        <w:rPr>
          <w:rFonts w:ascii="ResponsaTTF" w:cs="David"/>
          <w:color w:val="000000"/>
          <w:sz w:val="24"/>
          <w:szCs w:val="24"/>
          <w:rtl/>
        </w:rPr>
        <w:t xml:space="preserve"> </w:t>
      </w:r>
      <w:r w:rsidRPr="00B90B29">
        <w:rPr>
          <w:rFonts w:ascii="ResponsaTTF" w:cs="David" w:hint="eastAsia"/>
          <w:color w:val="000000"/>
          <w:sz w:val="24"/>
          <w:szCs w:val="24"/>
          <w:rtl/>
        </w:rPr>
        <w:t>ערב</w:t>
      </w:r>
      <w:r w:rsidRPr="00B90B29">
        <w:rPr>
          <w:rFonts w:ascii="ResponsaTTF" w:cs="David"/>
          <w:color w:val="000000"/>
          <w:sz w:val="24"/>
          <w:szCs w:val="24"/>
          <w:rtl/>
        </w:rPr>
        <w:t xml:space="preserve"> </w:t>
      </w:r>
      <w:r w:rsidRPr="00B90B29">
        <w:rPr>
          <w:rFonts w:ascii="ResponsaTTF" w:cs="David" w:hint="eastAsia"/>
          <w:color w:val="000000"/>
          <w:sz w:val="24"/>
          <w:szCs w:val="24"/>
          <w:rtl/>
        </w:rPr>
        <w:t>ולהדליק</w:t>
      </w:r>
      <w:r w:rsidRPr="00B90B29">
        <w:rPr>
          <w:rFonts w:ascii="ResponsaTTF" w:cs="David"/>
          <w:color w:val="000000"/>
          <w:sz w:val="24"/>
          <w:szCs w:val="24"/>
          <w:rtl/>
        </w:rPr>
        <w:t xml:space="preserve"> </w:t>
      </w:r>
      <w:r w:rsidRPr="00B90B29">
        <w:rPr>
          <w:rFonts w:ascii="ResponsaTTF" w:cs="David" w:hint="eastAsia"/>
          <w:color w:val="000000"/>
          <w:sz w:val="24"/>
          <w:szCs w:val="24"/>
          <w:rtl/>
        </w:rPr>
        <w:t>בין</w:t>
      </w:r>
      <w:r w:rsidRPr="00B90B29">
        <w:rPr>
          <w:rFonts w:ascii="ResponsaTTF" w:cs="David"/>
          <w:color w:val="000000"/>
          <w:sz w:val="24"/>
          <w:szCs w:val="24"/>
          <w:rtl/>
        </w:rPr>
        <w:t xml:space="preserve"> </w:t>
      </w:r>
      <w:r w:rsidRPr="00B90B29">
        <w:rPr>
          <w:rFonts w:ascii="ResponsaTTF" w:cs="David" w:hint="eastAsia"/>
          <w:color w:val="000000"/>
          <w:sz w:val="24"/>
          <w:szCs w:val="24"/>
          <w:rtl/>
        </w:rPr>
        <w:t>האנשים</w:t>
      </w:r>
      <w:r w:rsidRPr="00B90B29">
        <w:rPr>
          <w:rFonts w:ascii="ResponsaTTF" w:cs="David" w:hint="cs"/>
          <w:color w:val="000000"/>
          <w:sz w:val="24"/>
          <w:szCs w:val="24"/>
          <w:rtl/>
        </w:rPr>
        <w:t>".</w:t>
      </w:r>
      <w:r w:rsidRPr="00B90B29">
        <w:rPr>
          <w:rStyle w:val="FootnoteReference"/>
          <w:rFonts w:ascii="ResponsaTTF" w:cs="David"/>
          <w:color w:val="000000"/>
          <w:sz w:val="24"/>
          <w:szCs w:val="24"/>
          <w:rtl/>
        </w:rPr>
        <w:footnoteReference w:id="5"/>
      </w:r>
      <w:r w:rsidRPr="00B90B29">
        <w:rPr>
          <w:rFonts w:ascii="ResponsaTTF" w:cs="David" w:hint="cs"/>
          <w:color w:val="000000"/>
          <w:sz w:val="24"/>
          <w:szCs w:val="24"/>
          <w:rtl/>
        </w:rPr>
        <w:t xml:space="preserve"> אמנם בתקופה מאוחרת יותר ההדלקה נעשתה בתוך הבית, "מכל מקום מנהג הראשון לא זז ממקומו". </w:t>
      </w:r>
    </w:p>
    <w:p w:rsidR="00123DD2" w:rsidRDefault="00123DD2" w:rsidP="00123DD2">
      <w:pPr>
        <w:widowControl w:val="0"/>
        <w:autoSpaceDE w:val="0"/>
        <w:autoSpaceDN w:val="0"/>
        <w:adjustRightInd w:val="0"/>
        <w:spacing w:line="360" w:lineRule="auto"/>
        <w:jc w:val="both"/>
        <w:rPr>
          <w:rFonts w:ascii="ResponsaTTF" w:cs="David"/>
          <w:color w:val="000000"/>
          <w:sz w:val="24"/>
          <w:szCs w:val="24"/>
          <w:rtl/>
        </w:rPr>
      </w:pPr>
      <w:r w:rsidRPr="00B90B29">
        <w:rPr>
          <w:rFonts w:ascii="ResponsaTTF" w:cs="David" w:hint="cs"/>
          <w:color w:val="000000"/>
          <w:sz w:val="24"/>
          <w:szCs w:val="24"/>
          <w:rtl/>
        </w:rPr>
        <w:t>הרב ליכטנשטיין</w:t>
      </w:r>
      <w:r w:rsidRPr="00B90B29">
        <w:rPr>
          <w:rStyle w:val="FootnoteReference"/>
          <w:rFonts w:ascii="ResponsaTTF" w:cs="David"/>
          <w:color w:val="000000"/>
          <w:sz w:val="24"/>
          <w:szCs w:val="24"/>
          <w:rtl/>
        </w:rPr>
        <w:footnoteReference w:id="6"/>
      </w:r>
      <w:r w:rsidRPr="00B90B29">
        <w:rPr>
          <w:rFonts w:ascii="ResponsaTTF" w:cs="David" w:hint="cs"/>
          <w:color w:val="000000"/>
          <w:sz w:val="24"/>
          <w:szCs w:val="24"/>
          <w:rtl/>
        </w:rPr>
        <w:t xml:space="preserve"> מעיד שבבית </w:t>
      </w:r>
      <w:proofErr w:type="spellStart"/>
      <w:r w:rsidRPr="00B90B29">
        <w:rPr>
          <w:rFonts w:ascii="ResponsaTTF" w:cs="David" w:hint="cs"/>
          <w:color w:val="000000"/>
          <w:sz w:val="24"/>
          <w:szCs w:val="24"/>
          <w:rtl/>
        </w:rPr>
        <w:t>הגרי"ד</w:t>
      </w:r>
      <w:proofErr w:type="spellEnd"/>
      <w:r w:rsidRPr="00B90B29">
        <w:rPr>
          <w:rFonts w:ascii="ResponsaTTF" w:cs="David" w:hint="cs"/>
          <w:color w:val="000000"/>
          <w:sz w:val="24"/>
          <w:szCs w:val="24"/>
          <w:rtl/>
        </w:rPr>
        <w:t xml:space="preserve"> היה נהוג שנשים מדליקות, ושכך הוא נוהג בביתו. לדבריו "פשטות הדין היא שנשים צריכות להדליק כגברים (מצד המהדרין מן המהדרין), ומי שסובר שדינן שונה </w:t>
      </w:r>
      <w:r w:rsidRPr="00B90B29">
        <w:rPr>
          <w:rFonts w:ascii="ResponsaTTF" w:cs="David"/>
          <w:color w:val="000000"/>
          <w:sz w:val="24"/>
          <w:szCs w:val="24"/>
          <w:rtl/>
        </w:rPr>
        <w:t>–</w:t>
      </w:r>
      <w:r w:rsidRPr="00B90B29">
        <w:rPr>
          <w:rFonts w:ascii="ResponsaTTF" w:cs="David" w:hint="cs"/>
          <w:color w:val="000000"/>
          <w:sz w:val="24"/>
          <w:szCs w:val="24"/>
          <w:rtl/>
        </w:rPr>
        <w:t xml:space="preserve"> עליו הראיה".  </w:t>
      </w:r>
    </w:p>
    <w:p w:rsidR="00123DD2" w:rsidRDefault="00123DD2" w:rsidP="00123DD2">
      <w:pPr>
        <w:widowControl w:val="0"/>
        <w:autoSpaceDE w:val="0"/>
        <w:autoSpaceDN w:val="0"/>
        <w:adjustRightInd w:val="0"/>
        <w:spacing w:line="360" w:lineRule="auto"/>
        <w:jc w:val="both"/>
        <w:rPr>
          <w:rFonts w:ascii="ResponsaTTF" w:cs="David"/>
          <w:color w:val="000000"/>
          <w:sz w:val="24"/>
          <w:szCs w:val="24"/>
          <w:rtl/>
        </w:rPr>
      </w:pPr>
      <w:r>
        <w:rPr>
          <w:rFonts w:ascii="ResponsaTTF" w:cs="David" w:hint="cs"/>
          <w:color w:val="000000"/>
          <w:sz w:val="24"/>
          <w:szCs w:val="24"/>
          <w:rtl/>
        </w:rPr>
        <w:t xml:space="preserve">נדמה לי שאכן פשטות הדברים היא כפי שהרב ליכטנשטיין כותב, שמצד מהדרין מן המהדרין הנשים האשכנזיות, פנויות ונשואות צריכות להדליק. ניתן לדייק זאת לענ"ד מדברי הרמב"ם, שהמסורת האשכנזית אימצה את פסיקתו. כשהוא מסביר את דין המהדרין הוא כותב: </w:t>
      </w:r>
      <w:r>
        <w:rPr>
          <w:rFonts w:ascii="ResponsaTTF" w:cs="David" w:hint="cs"/>
          <w:sz w:val="24"/>
          <w:szCs w:val="24"/>
          <w:rtl/>
        </w:rPr>
        <w:t>"</w:t>
      </w:r>
      <w:r w:rsidRPr="00C14777">
        <w:rPr>
          <w:rFonts w:ascii="ResponsaTTF" w:cs="David" w:hint="eastAsia"/>
          <w:sz w:val="24"/>
          <w:szCs w:val="24"/>
          <w:rtl/>
        </w:rPr>
        <w:t>והמהדר</w:t>
      </w:r>
      <w:r w:rsidRPr="00C14777">
        <w:rPr>
          <w:rFonts w:ascii="ResponsaTTF" w:cs="David"/>
          <w:sz w:val="24"/>
          <w:szCs w:val="24"/>
          <w:rtl/>
        </w:rPr>
        <w:t xml:space="preserve"> </w:t>
      </w:r>
      <w:r w:rsidRPr="00C14777">
        <w:rPr>
          <w:rFonts w:ascii="ResponsaTTF" w:cs="David" w:hint="eastAsia"/>
          <w:sz w:val="24"/>
          <w:szCs w:val="24"/>
          <w:rtl/>
        </w:rPr>
        <w:t>את</w:t>
      </w:r>
      <w:r w:rsidRPr="00C14777">
        <w:rPr>
          <w:rFonts w:ascii="ResponsaTTF" w:cs="David"/>
          <w:sz w:val="24"/>
          <w:szCs w:val="24"/>
          <w:rtl/>
        </w:rPr>
        <w:t xml:space="preserve"> </w:t>
      </w:r>
      <w:proofErr w:type="spellStart"/>
      <w:r w:rsidRPr="0054404D">
        <w:rPr>
          <w:rFonts w:ascii="ResponsaTTF" w:cs="David" w:hint="eastAsia"/>
          <w:sz w:val="24"/>
          <w:szCs w:val="24"/>
          <w:rtl/>
        </w:rPr>
        <w:t>המצוה</w:t>
      </w:r>
      <w:proofErr w:type="spellEnd"/>
      <w:r w:rsidRPr="00C14777">
        <w:rPr>
          <w:rFonts w:ascii="ResponsaTTF" w:cs="David"/>
          <w:sz w:val="24"/>
          <w:szCs w:val="24"/>
          <w:rtl/>
        </w:rPr>
        <w:t xml:space="preserve"> </w:t>
      </w:r>
      <w:r w:rsidRPr="00C14777">
        <w:rPr>
          <w:rFonts w:ascii="ResponsaTTF" w:cs="David" w:hint="eastAsia"/>
          <w:sz w:val="24"/>
          <w:szCs w:val="24"/>
          <w:rtl/>
        </w:rPr>
        <w:t>מדליק</w:t>
      </w:r>
      <w:r w:rsidRPr="00C14777">
        <w:rPr>
          <w:rFonts w:ascii="ResponsaTTF" w:cs="David"/>
          <w:sz w:val="24"/>
          <w:szCs w:val="24"/>
          <w:rtl/>
        </w:rPr>
        <w:t xml:space="preserve"> </w:t>
      </w:r>
      <w:r w:rsidRPr="00C14777">
        <w:rPr>
          <w:rFonts w:ascii="ResponsaTTF" w:cs="David" w:hint="eastAsia"/>
          <w:sz w:val="24"/>
          <w:szCs w:val="24"/>
          <w:rtl/>
        </w:rPr>
        <w:t>נרות</w:t>
      </w:r>
      <w:r w:rsidRPr="00C14777">
        <w:rPr>
          <w:rFonts w:ascii="ResponsaTTF" w:cs="David"/>
          <w:sz w:val="24"/>
          <w:szCs w:val="24"/>
          <w:rtl/>
        </w:rPr>
        <w:t xml:space="preserve"> </w:t>
      </w:r>
      <w:proofErr w:type="spellStart"/>
      <w:r w:rsidRPr="00C14777">
        <w:rPr>
          <w:rFonts w:ascii="ResponsaTTF" w:cs="David" w:hint="eastAsia"/>
          <w:sz w:val="24"/>
          <w:szCs w:val="24"/>
          <w:rtl/>
        </w:rPr>
        <w:t>כמנין</w:t>
      </w:r>
      <w:proofErr w:type="spellEnd"/>
      <w:r w:rsidRPr="00C14777">
        <w:rPr>
          <w:rFonts w:ascii="ResponsaTTF" w:cs="David"/>
          <w:sz w:val="24"/>
          <w:szCs w:val="24"/>
          <w:rtl/>
        </w:rPr>
        <w:t xml:space="preserve"> </w:t>
      </w:r>
      <w:r w:rsidRPr="00C14777">
        <w:rPr>
          <w:rFonts w:ascii="ResponsaTTF" w:cs="David" w:hint="eastAsia"/>
          <w:sz w:val="24"/>
          <w:szCs w:val="24"/>
          <w:rtl/>
        </w:rPr>
        <w:t>אנשי</w:t>
      </w:r>
      <w:r w:rsidRPr="00C14777">
        <w:rPr>
          <w:rFonts w:ascii="ResponsaTTF" w:cs="David"/>
          <w:sz w:val="24"/>
          <w:szCs w:val="24"/>
          <w:rtl/>
        </w:rPr>
        <w:t xml:space="preserve"> </w:t>
      </w:r>
      <w:r w:rsidRPr="00C14777">
        <w:rPr>
          <w:rFonts w:ascii="ResponsaTTF" w:cs="David" w:hint="eastAsia"/>
          <w:sz w:val="24"/>
          <w:szCs w:val="24"/>
          <w:rtl/>
        </w:rPr>
        <w:t>הבית</w:t>
      </w:r>
      <w:r w:rsidRPr="00C14777">
        <w:rPr>
          <w:rFonts w:ascii="ResponsaTTF" w:cs="David"/>
          <w:sz w:val="24"/>
          <w:szCs w:val="24"/>
          <w:rtl/>
        </w:rPr>
        <w:t xml:space="preserve"> </w:t>
      </w:r>
      <w:r w:rsidRPr="00C14777">
        <w:rPr>
          <w:rFonts w:ascii="ResponsaTTF" w:cs="David" w:hint="eastAsia"/>
          <w:sz w:val="24"/>
          <w:szCs w:val="24"/>
          <w:rtl/>
        </w:rPr>
        <w:t>נר</w:t>
      </w:r>
      <w:r w:rsidRPr="00C14777">
        <w:rPr>
          <w:rFonts w:ascii="ResponsaTTF" w:cs="David"/>
          <w:sz w:val="24"/>
          <w:szCs w:val="24"/>
          <w:rtl/>
        </w:rPr>
        <w:t xml:space="preserve"> </w:t>
      </w:r>
      <w:r w:rsidRPr="00C14777">
        <w:rPr>
          <w:rFonts w:ascii="ResponsaTTF" w:cs="David" w:hint="eastAsia"/>
          <w:sz w:val="24"/>
          <w:szCs w:val="24"/>
          <w:rtl/>
        </w:rPr>
        <w:t>לכל</w:t>
      </w:r>
      <w:r w:rsidRPr="00C14777">
        <w:rPr>
          <w:rFonts w:ascii="ResponsaTTF" w:cs="David"/>
          <w:sz w:val="24"/>
          <w:szCs w:val="24"/>
          <w:rtl/>
        </w:rPr>
        <w:t xml:space="preserve"> </w:t>
      </w:r>
      <w:r w:rsidRPr="00C14777">
        <w:rPr>
          <w:rFonts w:ascii="ResponsaTTF" w:cs="David" w:hint="eastAsia"/>
          <w:sz w:val="24"/>
          <w:szCs w:val="24"/>
          <w:rtl/>
        </w:rPr>
        <w:t>אחד</w:t>
      </w:r>
      <w:r w:rsidRPr="00C14777">
        <w:rPr>
          <w:rFonts w:ascii="ResponsaTTF" w:cs="David"/>
          <w:sz w:val="24"/>
          <w:szCs w:val="24"/>
          <w:rtl/>
        </w:rPr>
        <w:t xml:space="preserve"> </w:t>
      </w:r>
      <w:r w:rsidRPr="00C14777">
        <w:rPr>
          <w:rFonts w:ascii="ResponsaTTF" w:cs="David" w:hint="eastAsia"/>
          <w:sz w:val="24"/>
          <w:szCs w:val="24"/>
          <w:rtl/>
        </w:rPr>
        <w:t>ואחד</w:t>
      </w:r>
      <w:r w:rsidRPr="00C14777">
        <w:rPr>
          <w:rFonts w:ascii="ResponsaTTF" w:cs="David"/>
          <w:sz w:val="24"/>
          <w:szCs w:val="24"/>
          <w:rtl/>
        </w:rPr>
        <w:t xml:space="preserve"> </w:t>
      </w:r>
      <w:r w:rsidRPr="0054404D">
        <w:rPr>
          <w:rFonts w:ascii="ResponsaTTF" w:cs="David" w:hint="eastAsia"/>
          <w:sz w:val="24"/>
          <w:szCs w:val="24"/>
          <w:u w:val="single"/>
          <w:rtl/>
        </w:rPr>
        <w:t>בין</w:t>
      </w:r>
      <w:r w:rsidRPr="0054404D">
        <w:rPr>
          <w:rFonts w:ascii="ResponsaTTF" w:cs="David"/>
          <w:sz w:val="24"/>
          <w:szCs w:val="24"/>
          <w:u w:val="single"/>
          <w:rtl/>
        </w:rPr>
        <w:t xml:space="preserve"> </w:t>
      </w:r>
      <w:r w:rsidRPr="0054404D">
        <w:rPr>
          <w:rFonts w:ascii="ResponsaTTF" w:cs="David" w:hint="eastAsia"/>
          <w:sz w:val="24"/>
          <w:szCs w:val="24"/>
          <w:u w:val="single"/>
          <w:rtl/>
        </w:rPr>
        <w:t>אנשים</w:t>
      </w:r>
      <w:r w:rsidRPr="0054404D">
        <w:rPr>
          <w:rFonts w:ascii="ResponsaTTF" w:cs="David"/>
          <w:sz w:val="24"/>
          <w:szCs w:val="24"/>
          <w:u w:val="single"/>
          <w:rtl/>
        </w:rPr>
        <w:t xml:space="preserve"> </w:t>
      </w:r>
      <w:r w:rsidRPr="0054404D">
        <w:rPr>
          <w:rFonts w:ascii="ResponsaTTF" w:cs="David" w:hint="eastAsia"/>
          <w:sz w:val="24"/>
          <w:szCs w:val="24"/>
          <w:u w:val="single"/>
          <w:rtl/>
        </w:rPr>
        <w:t>בין</w:t>
      </w:r>
      <w:r w:rsidRPr="0054404D">
        <w:rPr>
          <w:rFonts w:ascii="ResponsaTTF" w:cs="David"/>
          <w:sz w:val="24"/>
          <w:szCs w:val="24"/>
          <w:u w:val="single"/>
          <w:rtl/>
        </w:rPr>
        <w:t xml:space="preserve"> </w:t>
      </w:r>
      <w:r w:rsidRPr="0054404D">
        <w:rPr>
          <w:rFonts w:ascii="ResponsaTTF" w:cs="David" w:hint="eastAsia"/>
          <w:sz w:val="24"/>
          <w:szCs w:val="24"/>
          <w:u w:val="single"/>
          <w:rtl/>
        </w:rPr>
        <w:t>נשים</w:t>
      </w:r>
      <w:r>
        <w:rPr>
          <w:rFonts w:ascii="ResponsaTTF" w:cs="David" w:hint="cs"/>
          <w:color w:val="000000"/>
          <w:sz w:val="24"/>
          <w:szCs w:val="24"/>
          <w:rtl/>
        </w:rPr>
        <w:t xml:space="preserve">" (הלכות חנוכה ד, א). בהדלקת המהדרין ההדלקה היא כמניין בני הבית, כולל הנשים. שיטת המהדרין מן המהדרין בפסיקת הרמב"ם, וכן בפסיקת </w:t>
      </w:r>
      <w:proofErr w:type="spellStart"/>
      <w:r>
        <w:rPr>
          <w:rFonts w:ascii="ResponsaTTF" w:cs="David" w:hint="cs"/>
          <w:color w:val="000000"/>
          <w:sz w:val="24"/>
          <w:szCs w:val="24"/>
          <w:rtl/>
        </w:rPr>
        <w:t>הרמ"א</w:t>
      </w:r>
      <w:proofErr w:type="spellEnd"/>
      <w:r>
        <w:rPr>
          <w:rFonts w:ascii="ResponsaTTF" w:cs="David" w:hint="cs"/>
          <w:color w:val="000000"/>
          <w:sz w:val="24"/>
          <w:szCs w:val="24"/>
          <w:rtl/>
        </w:rPr>
        <w:t>, מבוססת על שיטת המהדרין, ולכן ברור שבפשטות זה כולל את הנשים.</w:t>
      </w:r>
      <w:r>
        <w:rPr>
          <w:rStyle w:val="FootnoteReference"/>
          <w:rFonts w:ascii="ResponsaTTF" w:cs="David"/>
          <w:color w:val="000000"/>
          <w:sz w:val="24"/>
          <w:szCs w:val="24"/>
          <w:rtl/>
        </w:rPr>
        <w:footnoteReference w:id="7"/>
      </w:r>
    </w:p>
    <w:p w:rsidR="00123DD2" w:rsidRDefault="00123DD2" w:rsidP="00123DD2">
      <w:pPr>
        <w:widowControl w:val="0"/>
        <w:autoSpaceDE w:val="0"/>
        <w:autoSpaceDN w:val="0"/>
        <w:adjustRightInd w:val="0"/>
        <w:spacing w:line="360" w:lineRule="auto"/>
        <w:jc w:val="both"/>
        <w:rPr>
          <w:rFonts w:ascii="ResponsaTTF" w:cs="David"/>
          <w:color w:val="000000"/>
          <w:sz w:val="24"/>
          <w:szCs w:val="24"/>
          <w:rtl/>
        </w:rPr>
      </w:pPr>
      <w:r>
        <w:rPr>
          <w:rFonts w:ascii="ResponsaTTF" w:cs="David" w:hint="cs"/>
          <w:color w:val="000000"/>
          <w:sz w:val="24"/>
          <w:szCs w:val="24"/>
          <w:rtl/>
        </w:rPr>
        <w:t xml:space="preserve">אולם כוחו של המנהג חזק, והוא מצביע על כך שמצוות הדלקת נר חנוכה לא תפסה אצל הנשים. אפשר שהעיקרון המהותי של חנוכה, "נר איש וביתו", הופנם כאן, גם בשיטה הסוברת שההדלקה צריכה להיות לכל בני הבית. אפשר שיוקר הנרות או השמן לאורך תקופות רבות בהיסטוריה גרם </w:t>
      </w:r>
      <w:r>
        <w:rPr>
          <w:rFonts w:ascii="ResponsaTTF" w:cs="David" w:hint="cs"/>
          <w:color w:val="000000"/>
          <w:sz w:val="24"/>
          <w:szCs w:val="24"/>
          <w:rtl/>
        </w:rPr>
        <w:lastRenderedPageBreak/>
        <w:t xml:space="preserve">לכך שנשים ויתרו על ההדלקה. אולי נשים נשואות לא הדליקו מטעם שאשתו כגופו, וכפי שהן רגילות לצאת ידי חובה ע"י הבעל בקידוש ודומיו, והבנות - משראו שאִמן אינה מדליקה, נגררו אחריה. </w:t>
      </w:r>
    </w:p>
    <w:p w:rsidR="00123DD2" w:rsidRDefault="00123DD2" w:rsidP="00123DD2">
      <w:pPr>
        <w:widowControl w:val="0"/>
        <w:autoSpaceDE w:val="0"/>
        <w:autoSpaceDN w:val="0"/>
        <w:adjustRightInd w:val="0"/>
        <w:spacing w:line="360" w:lineRule="auto"/>
        <w:jc w:val="both"/>
        <w:rPr>
          <w:rFonts w:ascii="ResponsaTTF" w:cs="David"/>
          <w:color w:val="000000"/>
          <w:sz w:val="24"/>
          <w:szCs w:val="24"/>
          <w:rtl/>
        </w:rPr>
      </w:pPr>
      <w:r>
        <w:rPr>
          <w:rFonts w:ascii="ResponsaTTF" w:cs="David" w:hint="cs"/>
          <w:color w:val="000000"/>
          <w:sz w:val="24"/>
          <w:szCs w:val="24"/>
          <w:rtl/>
        </w:rPr>
        <w:t>חג שמח!</w:t>
      </w:r>
    </w:p>
    <w:p w:rsidR="00123DD2" w:rsidRPr="00B90B29" w:rsidRDefault="00123DD2" w:rsidP="00123DD2">
      <w:pPr>
        <w:widowControl w:val="0"/>
        <w:autoSpaceDE w:val="0"/>
        <w:autoSpaceDN w:val="0"/>
        <w:adjustRightInd w:val="0"/>
        <w:spacing w:line="360" w:lineRule="auto"/>
        <w:jc w:val="both"/>
        <w:rPr>
          <w:rFonts w:ascii="ResponsaTTF" w:cs="David"/>
          <w:color w:val="000000"/>
          <w:sz w:val="24"/>
          <w:szCs w:val="24"/>
          <w:rtl/>
        </w:rPr>
      </w:pPr>
    </w:p>
    <w:p w:rsidR="00297119" w:rsidRPr="00297119" w:rsidRDefault="00297119"/>
    <w:sectPr w:rsidR="00297119" w:rsidRPr="00297119" w:rsidSect="00F413B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119" w:rsidRDefault="00297119" w:rsidP="00297119">
      <w:pPr>
        <w:spacing w:after="0" w:line="240" w:lineRule="auto"/>
      </w:pPr>
      <w:r>
        <w:separator/>
      </w:r>
    </w:p>
  </w:endnote>
  <w:endnote w:type="continuationSeparator" w:id="0">
    <w:p w:rsidR="00297119" w:rsidRDefault="00297119" w:rsidP="0029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FrankRuhlMFO">
    <w:altName w:val="Courier New"/>
    <w:charset w:val="B1"/>
    <w:family w:val="auto"/>
    <w:pitch w:val="variable"/>
    <w:sig w:usb0="00000800" w:usb1="40000000" w:usb2="00000000" w:usb3="00000000" w:csb0="00000020" w:csb1="00000000"/>
  </w:font>
  <w:font w:name="Guttman Kav-Light">
    <w:panose1 w:val="02010401010101010101"/>
    <w:charset w:val="B1"/>
    <w:family w:val="auto"/>
    <w:pitch w:val="variable"/>
    <w:sig w:usb0="00000801" w:usb1="4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ResponsaTTF">
    <w:altName w:val="Courier New"/>
    <w:charset w:val="B1"/>
    <w:family w:val="auto"/>
    <w:pitch w:val="variable"/>
    <w:sig w:usb0="80000803"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119" w:rsidRDefault="00297119" w:rsidP="00297119">
      <w:pPr>
        <w:spacing w:after="0" w:line="240" w:lineRule="auto"/>
      </w:pPr>
      <w:r>
        <w:separator/>
      </w:r>
    </w:p>
  </w:footnote>
  <w:footnote w:type="continuationSeparator" w:id="0">
    <w:p w:rsidR="00297119" w:rsidRDefault="00297119" w:rsidP="00297119">
      <w:pPr>
        <w:spacing w:after="0" w:line="240" w:lineRule="auto"/>
      </w:pPr>
      <w:r>
        <w:continuationSeparator/>
      </w:r>
    </w:p>
  </w:footnote>
  <w:footnote w:id="1">
    <w:p w:rsidR="00123DD2" w:rsidRPr="00B90B29" w:rsidRDefault="00123DD2" w:rsidP="00123DD2">
      <w:pPr>
        <w:autoSpaceDE w:val="0"/>
        <w:autoSpaceDN w:val="0"/>
        <w:adjustRightInd w:val="0"/>
        <w:spacing w:line="360" w:lineRule="auto"/>
        <w:jc w:val="both"/>
        <w:rPr>
          <w:rFonts w:ascii="ResponsaTTF" w:cs="David"/>
          <w:color w:val="000000"/>
        </w:rPr>
      </w:pPr>
      <w:r w:rsidRPr="00B90B29">
        <w:rPr>
          <w:rStyle w:val="FootnoteReference"/>
          <w:rFonts w:cs="David"/>
        </w:rPr>
        <w:footnoteRef/>
      </w:r>
      <w:r w:rsidRPr="00B90B29">
        <w:rPr>
          <w:rFonts w:cs="David"/>
          <w:rtl/>
        </w:rPr>
        <w:t xml:space="preserve"> </w:t>
      </w:r>
      <w:r w:rsidRPr="00B90B29">
        <w:rPr>
          <w:rFonts w:ascii="ResponsaTTF" w:cs="David" w:hint="eastAsia"/>
          <w:color w:val="000000"/>
          <w:rtl/>
        </w:rPr>
        <w:t>שגזרו</w:t>
      </w:r>
      <w:r w:rsidRPr="00B90B29">
        <w:rPr>
          <w:rFonts w:ascii="ResponsaTTF" w:cs="David"/>
          <w:color w:val="000000"/>
          <w:rtl/>
        </w:rPr>
        <w:t xml:space="preserve"> </w:t>
      </w:r>
      <w:r w:rsidRPr="00B90B29">
        <w:rPr>
          <w:rFonts w:ascii="ResponsaTTF" w:cs="David" w:hint="eastAsia"/>
          <w:color w:val="000000"/>
          <w:rtl/>
        </w:rPr>
        <w:t>יוונים</w:t>
      </w:r>
      <w:r w:rsidRPr="00B90B29">
        <w:rPr>
          <w:rFonts w:ascii="ResponsaTTF" w:cs="David"/>
          <w:color w:val="000000"/>
          <w:rtl/>
        </w:rPr>
        <w:t xml:space="preserve"> </w:t>
      </w:r>
      <w:r w:rsidRPr="00B90B29">
        <w:rPr>
          <w:rFonts w:ascii="ResponsaTTF" w:cs="David" w:hint="eastAsia"/>
          <w:color w:val="000000"/>
          <w:rtl/>
        </w:rPr>
        <w:t>על</w:t>
      </w:r>
      <w:r w:rsidRPr="00B90B29">
        <w:rPr>
          <w:rFonts w:ascii="ResponsaTTF" w:cs="David"/>
          <w:color w:val="000000"/>
          <w:rtl/>
        </w:rPr>
        <w:t xml:space="preserve"> </w:t>
      </w:r>
      <w:r w:rsidRPr="00B90B29">
        <w:rPr>
          <w:rFonts w:ascii="ResponsaTTF" w:cs="David" w:hint="eastAsia"/>
          <w:color w:val="000000"/>
          <w:rtl/>
        </w:rPr>
        <w:t>כל</w:t>
      </w:r>
      <w:r w:rsidRPr="00B90B29">
        <w:rPr>
          <w:rFonts w:ascii="ResponsaTTF" w:cs="David"/>
          <w:color w:val="000000"/>
          <w:rtl/>
        </w:rPr>
        <w:t xml:space="preserve"> </w:t>
      </w:r>
      <w:r w:rsidRPr="00B90B29">
        <w:rPr>
          <w:rFonts w:ascii="ResponsaTTF" w:cs="David" w:hint="eastAsia"/>
          <w:color w:val="000000"/>
          <w:rtl/>
        </w:rPr>
        <w:t>בתולות</w:t>
      </w:r>
      <w:r w:rsidRPr="00B90B29">
        <w:rPr>
          <w:rFonts w:ascii="ResponsaTTF" w:cs="David"/>
          <w:color w:val="000000"/>
          <w:rtl/>
        </w:rPr>
        <w:t xml:space="preserve"> </w:t>
      </w:r>
      <w:r w:rsidRPr="00B90B29">
        <w:rPr>
          <w:rFonts w:ascii="ResponsaTTF" w:cs="David" w:hint="eastAsia"/>
          <w:color w:val="000000"/>
          <w:rtl/>
        </w:rPr>
        <w:t>הנשואות</w:t>
      </w:r>
      <w:r w:rsidRPr="00B90B29">
        <w:rPr>
          <w:rFonts w:ascii="ResponsaTTF" w:cs="David"/>
          <w:color w:val="000000"/>
          <w:rtl/>
        </w:rPr>
        <w:t xml:space="preserve"> </w:t>
      </w:r>
      <w:r w:rsidRPr="00B90B29">
        <w:rPr>
          <w:rFonts w:ascii="ResponsaTTF" w:cs="David" w:hint="eastAsia"/>
          <w:color w:val="000000"/>
          <w:rtl/>
        </w:rPr>
        <w:t>להיבעל</w:t>
      </w:r>
      <w:r w:rsidRPr="00B90B29">
        <w:rPr>
          <w:rFonts w:ascii="ResponsaTTF" w:cs="David"/>
          <w:color w:val="000000"/>
          <w:rtl/>
        </w:rPr>
        <w:t xml:space="preserve"> </w:t>
      </w:r>
      <w:r w:rsidRPr="00B90B29">
        <w:rPr>
          <w:rFonts w:ascii="ResponsaTTF" w:cs="David" w:hint="eastAsia"/>
          <w:color w:val="000000"/>
          <w:rtl/>
        </w:rPr>
        <w:t>לטפסר</w:t>
      </w:r>
      <w:r w:rsidRPr="00B90B29">
        <w:rPr>
          <w:rFonts w:ascii="ResponsaTTF" w:cs="David"/>
          <w:color w:val="000000"/>
          <w:rtl/>
        </w:rPr>
        <w:t xml:space="preserve"> </w:t>
      </w:r>
      <w:r w:rsidRPr="00B90B29">
        <w:rPr>
          <w:rFonts w:ascii="ResponsaTTF" w:cs="David" w:hint="eastAsia"/>
          <w:color w:val="000000"/>
          <w:rtl/>
        </w:rPr>
        <w:t>תחלה</w:t>
      </w:r>
      <w:r w:rsidRPr="00B90B29">
        <w:rPr>
          <w:rFonts w:ascii="ResponsaTTF" w:cs="David"/>
          <w:color w:val="000000"/>
          <w:rtl/>
        </w:rPr>
        <w:t xml:space="preserve">, </w:t>
      </w:r>
      <w:r w:rsidRPr="00B90B29">
        <w:rPr>
          <w:rFonts w:ascii="ResponsaTTF" w:cs="David" w:hint="eastAsia"/>
          <w:color w:val="000000"/>
          <w:rtl/>
        </w:rPr>
        <w:t>ועל</w:t>
      </w:r>
      <w:r w:rsidRPr="00B90B29">
        <w:rPr>
          <w:rFonts w:ascii="ResponsaTTF" w:cs="David"/>
          <w:color w:val="000000"/>
          <w:rtl/>
        </w:rPr>
        <w:t xml:space="preserve"> </w:t>
      </w:r>
      <w:r w:rsidRPr="00B90B29">
        <w:rPr>
          <w:rFonts w:ascii="ResponsaTTF" w:cs="David" w:hint="eastAsia"/>
          <w:color w:val="000000"/>
          <w:rtl/>
        </w:rPr>
        <w:t>יד</w:t>
      </w:r>
      <w:r w:rsidRPr="00B90B29">
        <w:rPr>
          <w:rFonts w:ascii="ResponsaTTF" w:cs="David"/>
          <w:color w:val="000000"/>
          <w:rtl/>
        </w:rPr>
        <w:t xml:space="preserve"> </w:t>
      </w:r>
      <w:proofErr w:type="spellStart"/>
      <w:r w:rsidRPr="00B90B29">
        <w:rPr>
          <w:rFonts w:ascii="ResponsaTTF" w:cs="David" w:hint="eastAsia"/>
          <w:color w:val="000000"/>
          <w:rtl/>
        </w:rPr>
        <w:t>אשה</w:t>
      </w:r>
      <w:proofErr w:type="spellEnd"/>
      <w:r w:rsidRPr="00B90B29">
        <w:rPr>
          <w:rFonts w:ascii="ResponsaTTF" w:cs="David"/>
          <w:color w:val="000000"/>
          <w:rtl/>
        </w:rPr>
        <w:t xml:space="preserve"> </w:t>
      </w:r>
      <w:r w:rsidRPr="00B90B29">
        <w:rPr>
          <w:rFonts w:ascii="ResponsaTTF" w:cs="David" w:hint="eastAsia"/>
          <w:color w:val="000000"/>
          <w:rtl/>
        </w:rPr>
        <w:t>נעשה</w:t>
      </w:r>
      <w:r w:rsidRPr="00B90B29">
        <w:rPr>
          <w:rFonts w:ascii="ResponsaTTF" w:cs="David"/>
          <w:color w:val="000000"/>
          <w:rtl/>
        </w:rPr>
        <w:t xml:space="preserve"> </w:t>
      </w:r>
      <w:r w:rsidRPr="00B90B29">
        <w:rPr>
          <w:rFonts w:ascii="ResponsaTTF" w:cs="David" w:hint="eastAsia"/>
          <w:color w:val="000000"/>
          <w:rtl/>
        </w:rPr>
        <w:t>הנס</w:t>
      </w:r>
      <w:r w:rsidRPr="00B90B29">
        <w:rPr>
          <w:rFonts w:ascii="ResponsaTTF" w:cs="David" w:hint="cs"/>
          <w:color w:val="000000"/>
          <w:rtl/>
        </w:rPr>
        <w:t xml:space="preserve"> (רש"י, שם).</w:t>
      </w:r>
    </w:p>
  </w:footnote>
  <w:footnote w:id="2">
    <w:p w:rsidR="00123DD2" w:rsidRPr="00B90B29" w:rsidRDefault="00123DD2" w:rsidP="00123DD2">
      <w:pPr>
        <w:pStyle w:val="FootnoteText"/>
        <w:rPr>
          <w:sz w:val="22"/>
          <w:szCs w:val="22"/>
        </w:rPr>
      </w:pPr>
      <w:r w:rsidRPr="00B90B29">
        <w:rPr>
          <w:rStyle w:val="FootnoteReference"/>
          <w:sz w:val="22"/>
          <w:szCs w:val="22"/>
        </w:rPr>
        <w:footnoteRef/>
      </w:r>
      <w:r w:rsidRPr="00B90B29">
        <w:rPr>
          <w:sz w:val="22"/>
          <w:szCs w:val="22"/>
          <w:rtl/>
        </w:rPr>
        <w:t xml:space="preserve"> </w:t>
      </w:r>
      <w:r w:rsidRPr="00B90B29">
        <w:rPr>
          <w:rFonts w:hint="cs"/>
          <w:sz w:val="22"/>
          <w:szCs w:val="22"/>
          <w:rtl/>
        </w:rPr>
        <w:t>אמנם בשנים האחרונות יש יתר ויותר בנות הנוהגות להדליק, ועדיין דומה שאינן הרוב. ודאי לא בדורות הקודמים.</w:t>
      </w:r>
    </w:p>
  </w:footnote>
  <w:footnote w:id="3">
    <w:p w:rsidR="00123DD2" w:rsidRPr="00B90B29" w:rsidRDefault="00123DD2" w:rsidP="00123DD2">
      <w:pPr>
        <w:pStyle w:val="FootnoteText"/>
        <w:rPr>
          <w:sz w:val="22"/>
          <w:szCs w:val="22"/>
        </w:rPr>
      </w:pPr>
      <w:r w:rsidRPr="00B90B29">
        <w:rPr>
          <w:rStyle w:val="FootnoteReference"/>
          <w:sz w:val="22"/>
          <w:szCs w:val="22"/>
        </w:rPr>
        <w:footnoteRef/>
      </w:r>
      <w:r w:rsidRPr="00B90B29">
        <w:rPr>
          <w:sz w:val="22"/>
          <w:szCs w:val="22"/>
          <w:rtl/>
        </w:rPr>
        <w:t xml:space="preserve"> </w:t>
      </w:r>
      <w:r w:rsidRPr="00B90B29">
        <w:rPr>
          <w:rFonts w:hint="cs"/>
          <w:sz w:val="22"/>
          <w:szCs w:val="22"/>
          <w:rtl/>
        </w:rPr>
        <w:t>באורך נראה אור, עמ' 78.</w:t>
      </w:r>
    </w:p>
  </w:footnote>
  <w:footnote w:id="4">
    <w:p w:rsidR="00123DD2" w:rsidRPr="00B90B29" w:rsidRDefault="00123DD2" w:rsidP="00123DD2">
      <w:pPr>
        <w:pStyle w:val="FootnoteText"/>
        <w:rPr>
          <w:sz w:val="22"/>
          <w:szCs w:val="22"/>
          <w:rtl/>
        </w:rPr>
      </w:pPr>
      <w:r w:rsidRPr="00B90B29">
        <w:rPr>
          <w:rStyle w:val="FootnoteReference"/>
          <w:sz w:val="22"/>
          <w:szCs w:val="22"/>
        </w:rPr>
        <w:footnoteRef/>
      </w:r>
      <w:r w:rsidRPr="00B90B29">
        <w:rPr>
          <w:sz w:val="22"/>
          <w:szCs w:val="22"/>
          <w:rtl/>
        </w:rPr>
        <w:t xml:space="preserve"> </w:t>
      </w:r>
      <w:r w:rsidRPr="00B90B29">
        <w:rPr>
          <w:rFonts w:hint="cs"/>
          <w:sz w:val="22"/>
          <w:szCs w:val="22"/>
          <w:rtl/>
        </w:rPr>
        <w:t>הוא כמובן אינו מגיב לדברי  הרב אריאל. הוא מעלה את הנימוק הזה בעצמו ופוסל אותו.</w:t>
      </w:r>
    </w:p>
  </w:footnote>
  <w:footnote w:id="5">
    <w:p w:rsidR="00123DD2" w:rsidRPr="00B90B29" w:rsidRDefault="00123DD2" w:rsidP="00123DD2">
      <w:pPr>
        <w:pStyle w:val="FootnoteText"/>
        <w:rPr>
          <w:sz w:val="22"/>
          <w:szCs w:val="22"/>
        </w:rPr>
      </w:pPr>
      <w:r w:rsidRPr="00B90B29">
        <w:rPr>
          <w:rStyle w:val="FootnoteReference"/>
          <w:sz w:val="22"/>
          <w:szCs w:val="22"/>
        </w:rPr>
        <w:footnoteRef/>
      </w:r>
      <w:r w:rsidRPr="00B90B29">
        <w:rPr>
          <w:sz w:val="22"/>
          <w:szCs w:val="22"/>
          <w:rtl/>
        </w:rPr>
        <w:t xml:space="preserve"> </w:t>
      </w:r>
      <w:r w:rsidRPr="00B90B29">
        <w:rPr>
          <w:rFonts w:hint="cs"/>
          <w:sz w:val="22"/>
          <w:szCs w:val="22"/>
          <w:rtl/>
        </w:rPr>
        <w:t xml:space="preserve">אמנם אם האיש אינו בבית, אז חובת ההדלקה היא על האישה, ועל כורחה היא יוצאה לחוץ ומדליקה. </w:t>
      </w:r>
    </w:p>
  </w:footnote>
  <w:footnote w:id="6">
    <w:p w:rsidR="00123DD2" w:rsidRPr="00B90B29" w:rsidRDefault="00123DD2" w:rsidP="00123DD2">
      <w:pPr>
        <w:pStyle w:val="FootnoteText"/>
        <w:rPr>
          <w:sz w:val="22"/>
          <w:szCs w:val="22"/>
        </w:rPr>
      </w:pPr>
      <w:r w:rsidRPr="00B90B29">
        <w:rPr>
          <w:rStyle w:val="FootnoteReference"/>
          <w:sz w:val="22"/>
          <w:szCs w:val="22"/>
        </w:rPr>
        <w:footnoteRef/>
      </w:r>
      <w:r w:rsidRPr="00B90B29">
        <w:rPr>
          <w:rStyle w:val="FootnoteReference"/>
          <w:sz w:val="22"/>
          <w:szCs w:val="22"/>
        </w:rPr>
        <w:footnoteRef/>
      </w:r>
      <w:r w:rsidRPr="00B90B29">
        <w:rPr>
          <w:sz w:val="22"/>
          <w:szCs w:val="22"/>
          <w:rtl/>
        </w:rPr>
        <w:t xml:space="preserve"> </w:t>
      </w:r>
      <w:r w:rsidRPr="00B90B29">
        <w:rPr>
          <w:rFonts w:hint="cs"/>
          <w:sz w:val="22"/>
          <w:szCs w:val="22"/>
          <w:rtl/>
        </w:rPr>
        <w:t xml:space="preserve">"חיוב נשים בהדלקת נר חנוכה", בית המדרש הווירטואלי, ישיבת הר עציון. </w:t>
      </w:r>
    </w:p>
  </w:footnote>
  <w:footnote w:id="7">
    <w:p w:rsidR="00123DD2" w:rsidRDefault="00123DD2" w:rsidP="00123DD2">
      <w:pPr>
        <w:pStyle w:val="FootnoteText"/>
      </w:pPr>
      <w:r>
        <w:rPr>
          <w:rStyle w:val="FootnoteReference"/>
        </w:rPr>
        <w:footnoteRef/>
      </w:r>
      <w:r>
        <w:rPr>
          <w:rStyle w:val="FootnoteReference"/>
        </w:rPr>
        <w:footnoteRef/>
      </w:r>
      <w:r>
        <w:rPr>
          <w:rStyle w:val="FootnoteReference"/>
        </w:rPr>
        <w:footnoteRef/>
      </w:r>
      <w:r>
        <w:rPr>
          <w:rtl/>
        </w:rPr>
        <w:t xml:space="preserve"> </w:t>
      </w:r>
      <w:r>
        <w:rPr>
          <w:rFonts w:hint="cs"/>
          <w:rtl/>
        </w:rPr>
        <w:t xml:space="preserve">אמנם יש הבדל בין הרמב"ם </w:t>
      </w:r>
      <w:proofErr w:type="spellStart"/>
      <w:r>
        <w:rPr>
          <w:rFonts w:hint="cs"/>
          <w:rtl/>
        </w:rPr>
        <w:t>והרמ"א</w:t>
      </w:r>
      <w:proofErr w:type="spellEnd"/>
      <w:r>
        <w:rPr>
          <w:rFonts w:hint="cs"/>
          <w:rtl/>
        </w:rPr>
        <w:t xml:space="preserve"> מי מדליק את הנרות של כל בני הבית: בעל הבית מדליק את כולם (רמב"ם) או כל אחד מבני הבית מדליק את נרותיו (רמ"א). ראו בעניין זה בית הלוי שבת </w:t>
      </w:r>
      <w:proofErr w:type="spellStart"/>
      <w:r>
        <w:rPr>
          <w:rFonts w:hint="cs"/>
          <w:rtl/>
        </w:rPr>
        <w:t>כג</w:t>
      </w:r>
      <w:proofErr w:type="spellEnd"/>
      <w:r>
        <w:rPr>
          <w:rFonts w:hint="cs"/>
          <w:rtl/>
        </w:rPr>
        <w:t xml:space="preserve">; </w:t>
      </w:r>
      <w:proofErr w:type="spellStart"/>
      <w:r>
        <w:rPr>
          <w:rFonts w:hint="cs"/>
          <w:rtl/>
        </w:rPr>
        <w:t>גרי"ז</w:t>
      </w:r>
      <w:proofErr w:type="spellEnd"/>
      <w:r>
        <w:rPr>
          <w:rFonts w:hint="cs"/>
          <w:rtl/>
        </w:rPr>
        <w:t xml:space="preserve"> ברמב"ם על אתר.</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19"/>
    <w:rsid w:val="00123DD2"/>
    <w:rsid w:val="00297119"/>
    <w:rsid w:val="003D0AA2"/>
    <w:rsid w:val="004A235E"/>
    <w:rsid w:val="00B91A45"/>
    <w:rsid w:val="00DF66B4"/>
    <w:rsid w:val="00EA3791"/>
    <w:rsid w:val="00F413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5FAA8-AACD-469D-91EE-B22E9E6C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97119"/>
    <w:pPr>
      <w:spacing w:after="0" w:line="240" w:lineRule="auto"/>
    </w:pPr>
    <w:rPr>
      <w:rFonts w:ascii="Times New Roman" w:eastAsia="Times New Roman" w:hAnsi="Times New Roman" w:cs="David"/>
      <w:sz w:val="20"/>
      <w:szCs w:val="20"/>
    </w:rPr>
  </w:style>
  <w:style w:type="character" w:customStyle="1" w:styleId="FootnoteTextChar">
    <w:name w:val="Footnote Text Char"/>
    <w:basedOn w:val="DefaultParagraphFont"/>
    <w:link w:val="FootnoteText"/>
    <w:semiHidden/>
    <w:rsid w:val="00297119"/>
    <w:rPr>
      <w:rFonts w:ascii="Times New Roman" w:eastAsia="Times New Roman" w:hAnsi="Times New Roman" w:cs="David"/>
      <w:sz w:val="20"/>
      <w:szCs w:val="20"/>
    </w:rPr>
  </w:style>
  <w:style w:type="character" w:styleId="FootnoteReference">
    <w:name w:val="footnote reference"/>
    <w:uiPriority w:val="99"/>
    <w:semiHidden/>
    <w:rsid w:val="00297119"/>
    <w:rPr>
      <w:vertAlign w:val="superscript"/>
    </w:rPr>
  </w:style>
  <w:style w:type="paragraph" w:customStyle="1" w:styleId="a">
    <w:name w:val="@טקסט"/>
    <w:link w:val="a0"/>
    <w:rsid w:val="00EA3791"/>
    <w:pPr>
      <w:widowControl w:val="0"/>
      <w:bidi/>
      <w:spacing w:after="0" w:line="300" w:lineRule="exact"/>
      <w:ind w:firstLine="227"/>
      <w:jc w:val="both"/>
    </w:pPr>
    <w:rPr>
      <w:rFonts w:ascii="Times New Roman" w:eastAsia="Times New Roman" w:hAnsi="Times New Roman" w:cs="FrankRuhlMFO"/>
      <w:sz w:val="20"/>
      <w:szCs w:val="23"/>
    </w:rPr>
  </w:style>
  <w:style w:type="character" w:customStyle="1" w:styleId="a0">
    <w:name w:val="@טקסט תו"/>
    <w:link w:val="a"/>
    <w:rsid w:val="00EA3791"/>
    <w:rPr>
      <w:rFonts w:ascii="Times New Roman" w:eastAsia="Times New Roman" w:hAnsi="Times New Roman" w:cs="FrankRuhlMFO"/>
      <w:sz w:val="20"/>
      <w:szCs w:val="23"/>
    </w:rPr>
  </w:style>
  <w:style w:type="paragraph" w:customStyle="1" w:styleId="a1">
    <w:name w:val="@מוכנס"/>
    <w:rsid w:val="00EA3791"/>
    <w:pPr>
      <w:widowControl w:val="0"/>
      <w:bidi/>
      <w:spacing w:after="0" w:line="300" w:lineRule="exact"/>
      <w:ind w:firstLine="227"/>
      <w:jc w:val="both"/>
    </w:pPr>
    <w:rPr>
      <w:rFonts w:ascii="Times New Roman" w:eastAsia="Times New Roman" w:hAnsi="Times New Roman" w:cs="FrankRuhlMFO"/>
      <w:b/>
      <w:bCs/>
      <w:sz w:val="20"/>
      <w:szCs w:val="23"/>
    </w:rPr>
  </w:style>
  <w:style w:type="character" w:customStyle="1" w:styleId="a2">
    <w:name w:val="@ציטוט בתוך טקסט"/>
    <w:rsid w:val="00EA3791"/>
    <w:rPr>
      <w:bCs/>
    </w:rPr>
  </w:style>
  <w:style w:type="paragraph" w:customStyle="1" w:styleId="a3">
    <w:name w:val="@הערות שוליים"/>
    <w:rsid w:val="00EA3791"/>
    <w:pPr>
      <w:widowControl w:val="0"/>
      <w:tabs>
        <w:tab w:val="left" w:pos="340"/>
      </w:tabs>
      <w:bidi/>
      <w:spacing w:after="0" w:line="240" w:lineRule="exact"/>
      <w:ind w:left="340" w:hanging="340"/>
      <w:jc w:val="both"/>
    </w:pPr>
    <w:rPr>
      <w:rFonts w:ascii="Times New Roman" w:eastAsia="Times New Roman" w:hAnsi="Times New Roman" w:cs="FrankRuhlMFO"/>
      <w:sz w:val="15"/>
      <w:szCs w:val="18"/>
    </w:rPr>
  </w:style>
  <w:style w:type="character" w:customStyle="1" w:styleId="-">
    <w:name w:val="@מקף-טקסט"/>
    <w:rsid w:val="00EA3791"/>
    <w:rPr>
      <w:position w:val="5"/>
    </w:rPr>
  </w:style>
  <w:style w:type="character" w:customStyle="1" w:styleId="a4">
    <w:name w:val="@מנעדים"/>
    <w:rsid w:val="00EA3791"/>
    <w:rPr>
      <w:rFonts w:cs="Guttman Kav-Light"/>
    </w:rPr>
  </w:style>
  <w:style w:type="paragraph" w:styleId="ListParagraph">
    <w:name w:val="List Paragraph"/>
    <w:basedOn w:val="Normal"/>
    <w:uiPriority w:val="34"/>
    <w:qFormat/>
    <w:rsid w:val="00DF6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Mindal Kliger</dc:creator>
  <cp:keywords/>
  <dc:description/>
  <cp:lastModifiedBy>Ilana Mindal Kliger</cp:lastModifiedBy>
  <cp:revision>2</cp:revision>
  <dcterms:created xsi:type="dcterms:W3CDTF">2016-12-22T09:49:00Z</dcterms:created>
  <dcterms:modified xsi:type="dcterms:W3CDTF">2016-12-22T09:49:00Z</dcterms:modified>
</cp:coreProperties>
</file>