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EB" w:rsidRDefault="002B34EB" w:rsidP="002B34EB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בס"ד, ערב חג השבועות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תש"ף</w:t>
      </w:r>
      <w:proofErr w:type="spellEnd"/>
    </w:p>
    <w:p w:rsidR="002B34EB" w:rsidRDefault="002B34EB" w:rsidP="002B34EB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B34EB" w:rsidRPr="002B34EB" w:rsidRDefault="002B34EB" w:rsidP="002B34EB">
      <w:pPr>
        <w:spacing w:after="0" w:line="360" w:lineRule="auto"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2B34EB">
        <w:rPr>
          <w:rFonts w:ascii="David" w:hAnsi="David" w:cs="David" w:hint="cs"/>
          <w:b/>
          <w:bCs/>
          <w:sz w:val="40"/>
          <w:szCs w:val="40"/>
          <w:rtl/>
        </w:rPr>
        <w:t xml:space="preserve">דבר תורה לחג השבועות </w:t>
      </w:r>
      <w:r w:rsidRPr="002B34EB">
        <w:rPr>
          <w:rFonts w:ascii="David" w:hAnsi="David" w:cs="David"/>
          <w:b/>
          <w:bCs/>
          <w:sz w:val="40"/>
          <w:szCs w:val="40"/>
          <w:rtl/>
        </w:rPr>
        <w:t>–</w:t>
      </w:r>
      <w:r w:rsidRPr="002B34EB">
        <w:rPr>
          <w:rFonts w:ascii="David" w:hAnsi="David" w:cs="David" w:hint="cs"/>
          <w:b/>
          <w:bCs/>
          <w:sz w:val="40"/>
          <w:szCs w:val="40"/>
          <w:rtl/>
        </w:rPr>
        <w:t xml:space="preserve"> ד"ר טובה </w:t>
      </w:r>
      <w:proofErr w:type="spellStart"/>
      <w:r w:rsidRPr="002B34EB">
        <w:rPr>
          <w:rFonts w:ascii="David" w:hAnsi="David" w:cs="David" w:hint="cs"/>
          <w:b/>
          <w:bCs/>
          <w:sz w:val="40"/>
          <w:szCs w:val="40"/>
          <w:rtl/>
        </w:rPr>
        <w:t>גנזל</w:t>
      </w:r>
      <w:proofErr w:type="spellEnd"/>
    </w:p>
    <w:p w:rsidR="002B34EB" w:rsidRPr="002B34EB" w:rsidRDefault="002B34EB" w:rsidP="002B34EB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B34EB">
        <w:rPr>
          <w:rFonts w:ascii="David" w:hAnsi="David" w:cs="David"/>
          <w:b/>
          <w:bCs/>
          <w:sz w:val="32"/>
          <w:szCs w:val="32"/>
          <w:rtl/>
        </w:rPr>
        <w:t>מתי ולמה הפך חג שבועות לחג מתן תורה?</w:t>
      </w:r>
    </w:p>
    <w:p w:rsidR="002B34EB" w:rsidRPr="00B07D30" w:rsidRDefault="002B34EB" w:rsidP="002B34E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/>
          <w:color w:val="000000"/>
          <w:sz w:val="24"/>
          <w:szCs w:val="24"/>
          <w:rtl/>
        </w:rPr>
        <w:t>בתורה, שלושת הרג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לים </w:t>
      </w:r>
      <w:r>
        <w:rPr>
          <w:rFonts w:ascii="David" w:hAnsi="David" w:cs="David" w:hint="cs"/>
          <w:color w:val="000000"/>
          <w:sz w:val="24"/>
          <w:szCs w:val="24"/>
          <w:rtl/>
        </w:rPr>
        <w:t>מ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ופיעים ביחד. אולם</w:t>
      </w:r>
      <w:r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בעוד שלפסח ולסוכות יש סיפור הי</w:t>
      </w:r>
      <w:r>
        <w:rPr>
          <w:rFonts w:ascii="David" w:hAnsi="David" w:cs="David"/>
          <w:color w:val="000000"/>
          <w:sz w:val="24"/>
          <w:szCs w:val="24"/>
          <w:rtl/>
        </w:rPr>
        <w:t>סטורי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,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שבועות מתואר בתורה בתיאורים חקלאיים בלבד: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חג קציר - בשמות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כג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טז-יט</w:t>
      </w:r>
      <w:proofErr w:type="spellEnd"/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: 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וְחַג הַקָּצִיר בִּכּוּרֵי מַעֲשֶׂיךָ אֲשֶׁר תִּזְרַע בַּשָּׂדֶה וְחַג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הָאָסִף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בְּצֵאת הַשָּׁנָה בְּאָסְפְּךָ אֶת מַעֲשֶׂיךָ מִן הַשָּׂדֶה.</w:t>
      </w:r>
      <w:r w:rsidRPr="00B07D30">
        <w:rPr>
          <w:rFonts w:ascii="David" w:hAnsi="David" w:cs="David"/>
          <w:color w:val="000000"/>
          <w:sz w:val="24"/>
          <w:szCs w:val="24"/>
        </w:rPr>
        <w:t> </w:t>
      </w:r>
      <w:r>
        <w:rPr>
          <w:rFonts w:ascii="David" w:hAnsi="David" w:cs="David"/>
          <w:color w:val="000000"/>
          <w:sz w:val="24"/>
          <w:szCs w:val="24"/>
          <w:rtl/>
        </w:rPr>
        <w:t>שָׁלֹשׁ פְּעָמִים בַּשָּׁנָה יֵרָאֶה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כָּל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זְכוּרְך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ָ אֶל פְּנֵי הָאָדֹן </w:t>
      </w:r>
      <w:bookmarkStart w:id="0" w:name="18"/>
      <w:bookmarkEnd w:id="0"/>
      <w:r w:rsidRPr="00B07D30">
        <w:rPr>
          <w:rFonts w:ascii="David" w:hAnsi="David" w:cs="David"/>
          <w:color w:val="000000"/>
          <w:sz w:val="24"/>
          <w:szCs w:val="24"/>
          <w:rtl/>
        </w:rPr>
        <w:t>ה'..</w:t>
      </w:r>
      <w:r w:rsidRPr="00B07D30">
        <w:rPr>
          <w:rFonts w:ascii="David" w:hAnsi="David" w:cs="David"/>
          <w:color w:val="000000"/>
          <w:sz w:val="24"/>
          <w:szCs w:val="24"/>
        </w:rPr>
        <w:t>. </w:t>
      </w:r>
      <w:bookmarkStart w:id="1" w:name="19"/>
      <w:bookmarkEnd w:id="1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 רֵאשִׁית בִּכּוּרֵי אַדְמָתְךָ תָּבִיא בֵּית ה'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אֱלֹהֶיך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ָ לֹא תְבַשֵּׁל גְּדִי בַּחֲלֵב אִמּוֹ."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חג הביכורים -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בבמדבר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כח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כו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-לא: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וּבְיוֹם הַבִּכּוּרִים בְּהַקְרִיבְכֶם מִנְחָה חֲדָשָׁה לַה'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בְּשָׁבֻעֹתֵיכֶם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  מִקְרָא קֹדֶשׁ יִהְיֶה לָכֶם כָּל מְלֶאכֶת עֲבֹדָה לֹא תַעֲשׂוּ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וְהִקְרַבְתֶּם עוֹלָה לְרֵיחַ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נִיחֹח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ַ לה'..."</w:t>
      </w:r>
      <w:r w:rsidRPr="00B07D30">
        <w:rPr>
          <w:rFonts w:ascii="David" w:hAnsi="David" w:cs="David"/>
          <w:color w:val="000000"/>
          <w:sz w:val="24"/>
          <w:szCs w:val="24"/>
        </w:rPr>
        <w:t>.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החג איננו מוזכר כ'חג מתן תורה'.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משום כך, בשנים שבהם היה קיים בית המקדש בירושלים, עבור מי שחגג את החגים בגלות, היה זה, לכאורה, חג ללא משמעות וללא טקס, ואפילו ללא תאריך קבוע בחודש השלישי (זמנו - 50 יום ממחרת השבת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ו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תלוי בעיבור חודש אייר).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bookmarkStart w:id="2" w:name="_GoBack"/>
      <w:bookmarkEnd w:id="2"/>
    </w:p>
    <w:p w:rsidR="002B34EB" w:rsidRPr="00B07D30" w:rsidRDefault="002B34EB" w:rsidP="002B34E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Guttman Yad-Brush"/>
          <w:b/>
          <w:bCs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אזכור נוסף של החגים ללא חג שבועות מצוי בספר יחזקאל, אך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קשה להבין את דיני החגים המתוארים בחזון המקדש העתידי בספר יחזקאל ויתכן כי אין לנו אלא לחכות לאליהו הנביא שיישב את הסתירות בין הכתוב ביחזקאל לכתוב בתורה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(מנחות מה, ע"א)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. אולם יתכן כי גם ההקשר של חג השבועות בתורה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כחג חקלאי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הוא הגורם לכך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שבנבואת יחזקאל, שניתנה לעם היושב בבבל, שבועות אינו מוזכר: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ביחזקאל מה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מופיע פסח ולאחריו מופיע חג בט"ו בחודש השביעי (=סוכות)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: "בָרִּאשׁוֹן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בְּאַרְבָּעָה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עָשָׂר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יוֹם לַחֹדֶשׁ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יִהְיה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ֶ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לָכֶם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הַפָּסַח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חָג שְׁבֻעוֹת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ימִָים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מַצוֹּת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יאֵָכֵל...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ושְִׁבְעַת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ימְי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הֶחָג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יעַשֶׂה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עוֹלָה לה'...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בַשְּּׁבִיעִי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בַחֲּמִשָּׁה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עָשָׂר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יוֹם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לחַדֶשׁ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בֶחָּג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יעַשֶׂה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כָאֵלֶהּ שִׁבְעַת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הַימִָּים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כַחַּטָּאת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כָעֹּלָה וכְמִּנחְָה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וכְשָּׁמֶן" (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כא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-כה).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עם זאת, ניתן למצוא רמזים </w:t>
      </w:r>
      <w:r>
        <w:rPr>
          <w:rFonts w:ascii="David" w:hAnsi="David" w:cs="David" w:hint="cs"/>
          <w:color w:val="000000"/>
          <w:sz w:val="24"/>
          <w:szCs w:val="24"/>
          <w:rtl/>
        </w:rPr>
        <w:t>בתחילת פרשת מתן תורה שבמקרא לעובדה שמתן תורה ארע בסיון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: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 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בַּחֹד</w:t>
      </w:r>
      <w:r>
        <w:rPr>
          <w:rFonts w:ascii="David" w:hAnsi="David" w:cs="David"/>
          <w:color w:val="000000"/>
          <w:sz w:val="24"/>
          <w:szCs w:val="24"/>
          <w:rtl/>
        </w:rPr>
        <w:t>ֶשׁ הַשְּׁלִישִׁי לְצֵאת בְּנֵי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יִשְׂרָאֵל מֵאֶרֶץ מִצְרָיִם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בַּיּוֹם הַזֶּה בָּאוּ מִדְבַּר סִינ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י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ָ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" (שמות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יט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 xml:space="preserve">, א).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גם בדורות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שלאחר מכן, אנו מוצאים שזמן זה היה המועד שבו נכרתה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ברית בין ה' לעמו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.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כך מוצאים אנו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דברי הימים ב, י-יד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שבני יהודה מצאו את החודש השלישי מתאים לכריתת ברית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: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"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ויִקָּּבְצו</w:t>
      </w:r>
      <w:proofErr w:type="spellEnd"/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ירְושָּׁלִַם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בַּחֹדֶשׁ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הַשְּׁלִישִׁי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לִשְׁנתַ חֲמֵשׁ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עֶשְׂרֵה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לְמַלְכותּ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אָסָא.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ויִַזּבְְּחו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ּ לַה'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בַּיוֹּם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הַהואּ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מִן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הַשָּׁלָל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הֵבִיאוּ בָּקָר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שְׁבַע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מֵאוֹת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וצְֹאן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שִׁבְעַת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אֲלָפִים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.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ויַבָֹּאו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בַבְּרִית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lastRenderedPageBreak/>
        <w:t>לִדְרוֹשׁ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אֶת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ה'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proofErr w:type="spellStart"/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אֱלֹהֵי</w:t>
      </w:r>
      <w:proofErr w:type="spellEnd"/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אֲבוֹתֵיהֶם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בְּכָל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לְבָבָם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ובְּכָל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נפְַשָׁם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…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.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ויִַשָּּׁבְעו</w:t>
      </w:r>
      <w:proofErr w:type="spellEnd"/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לַה'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בְּקוֹל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גָדּוֹל</w:t>
      </w:r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ובִּתְרועָּה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ובַּחֲצֹצְרוֹת</w:t>
      </w:r>
      <w:proofErr w:type="spellEnd"/>
      <w:r w:rsidRPr="00B07D30">
        <w:rPr>
          <w:rFonts w:ascii="David" w:hAnsi="David" w:cs="David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ובְּשׁוֹפָרוֹת</w:t>
      </w:r>
      <w:r w:rsidRPr="00B07D30">
        <w:rPr>
          <w:rFonts w:ascii="David" w:hAnsi="David" w:cs="David"/>
          <w:color w:val="000000"/>
          <w:sz w:val="24"/>
          <w:szCs w:val="24"/>
        </w:rPr>
        <w:t>.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"</w:t>
      </w:r>
      <w:r w:rsidRPr="00B07D30">
        <w:rPr>
          <w:rStyle w:val="ab"/>
          <w:rFonts w:ascii="David" w:hAnsi="David" w:cs="David"/>
          <w:color w:val="000000"/>
          <w:sz w:val="24"/>
          <w:szCs w:val="24"/>
          <w:rtl/>
        </w:rPr>
        <w:footnoteReference w:id="1"/>
      </w:r>
      <w:r w:rsidRPr="00B07D30">
        <w:rPr>
          <w:rFonts w:ascii="David" w:hAnsi="David" w:cs="Guttman Yad-Brush" w:hint="cs"/>
          <w:b/>
          <w:bCs/>
          <w:color w:val="000000"/>
          <w:sz w:val="24"/>
          <w:szCs w:val="24"/>
          <w:rtl/>
        </w:rPr>
        <w:t xml:space="preserve">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בין אם יש להסתייע בתיאור האירועים בדברי הימים ובין אם לא,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חז"ל יצקו לחג תוכן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שיהיה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רלוונטי גם בגלות,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למרות שאינו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מצוין במפורש בתורה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שבועות מכאן ואילך הוא 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'חג מתן תורה'. מכיוון שאין לנו משנה או מסכת מיוחדת לחג זה, עלינו להתחקות אחר מספר מקורות שבהם מ</w:t>
      </w:r>
      <w:r>
        <w:rPr>
          <w:rFonts w:ascii="David" w:hAnsi="David" w:cs="David" w:hint="cs"/>
          <w:color w:val="000000"/>
          <w:sz w:val="24"/>
          <w:szCs w:val="24"/>
          <w:rtl/>
        </w:rPr>
        <w:t>וזכר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החג.</w:t>
      </w:r>
      <w:r w:rsidRPr="00B07D30">
        <w:rPr>
          <w:rStyle w:val="ab"/>
          <w:rFonts w:ascii="David" w:hAnsi="David" w:cs="David"/>
          <w:color w:val="000000"/>
          <w:sz w:val="24"/>
          <w:szCs w:val="24"/>
          <w:rtl/>
        </w:rPr>
        <w:footnoteReference w:id="2"/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עדות ראשונה לכך ששבועות 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מציין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גם 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את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מתן 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תורה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נ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תן למצוא 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ב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דברי ה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אחרים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המצוטטים בבר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יתא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באשר לשאלת קריאת התורה ביום זה: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לדעתם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של "האחרים"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, יש לקרוא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בשבועות את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פרשת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מתן תורה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(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שמות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יט</w:t>
      </w:r>
      <w:proofErr w:type="spellEnd"/>
      <w:r w:rsidRPr="00B07D30">
        <w:rPr>
          <w:rFonts w:ascii="David" w:hAnsi="David" w:cs="David" w:hint="cs"/>
          <w:color w:val="000000"/>
          <w:sz w:val="24"/>
          <w:szCs w:val="24"/>
          <w:rtl/>
        </w:rPr>
        <w:t>)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.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כך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היא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לשון הברייתא (</w:t>
      </w:r>
      <w:r>
        <w:rPr>
          <w:rFonts w:ascii="David" w:hAnsi="David" w:cs="David"/>
          <w:color w:val="000000"/>
          <w:sz w:val="24"/>
          <w:szCs w:val="24"/>
          <w:rtl/>
        </w:rPr>
        <w:t>מגילה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</w:rPr>
        <w:t>לא ע</w:t>
      </w:r>
      <w:r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א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): 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בעצרת –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שבעה שבועות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',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ומפטירין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בחבקוק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;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אחרים אומרים: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בחדש השלישי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ומפטירין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במרכבה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.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'בחדש השלישי'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הן מלות הפתיחה לפרשת מתן תורה בספר שמות; והרקע לדברי המשנה ה</w:t>
      </w:r>
      <w:r>
        <w:rPr>
          <w:rFonts w:ascii="David" w:hAnsi="David" w:cs="David" w:hint="cs"/>
          <w:color w:val="000000"/>
          <w:sz w:val="24"/>
          <w:szCs w:val="24"/>
          <w:rtl/>
        </w:rPr>
        <w:t>ו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א המסורת הקובעת שבחג השבועות ניתנה תורה. מעניי</w:t>
      </w:r>
      <w:r>
        <w:rPr>
          <w:rFonts w:ascii="David" w:hAnsi="David" w:cs="David" w:hint="cs"/>
          <w:color w:val="000000"/>
          <w:sz w:val="24"/>
          <w:szCs w:val="24"/>
          <w:rtl/>
        </w:rPr>
        <w:t>ן לראות ש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הגמרא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נמנעת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מלהכריע במחלוקת זו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וקובעת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:</w:t>
      </w:r>
      <w:r w:rsidRPr="00B07D30">
        <w:rPr>
          <w:rFonts w:ascii="David" w:hAnsi="David" w:cs="David" w:hint="cs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"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והאידנא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דאיכא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תרי יומי -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עבדינן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כתרוייהו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>, ואיפכא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.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 w:hint="cs"/>
          <w:color w:val="000000"/>
          <w:sz w:val="24"/>
          <w:szCs w:val="24"/>
          <w:rtl/>
        </w:rPr>
        <w:t>כלומר:</w:t>
      </w:r>
      <w:r w:rsidRPr="00B07D30">
        <w:rPr>
          <w:rFonts w:ascii="David" w:hAnsi="David" w:cs="David" w:hint="cs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כיון שבגולה חוגגים את חג השבועות במשך יומיים, ניתן לקיים את שתי הדעות, אחת בכל יום; ואולם במלה האחרונה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–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"ואיפכא", מציינת </w:t>
      </w:r>
      <w:proofErr w:type="spellStart"/>
      <w:r w:rsidRPr="00B07D30">
        <w:rPr>
          <w:rFonts w:ascii="David" w:hAnsi="David" w:cs="David" w:hint="cs"/>
          <w:color w:val="000000"/>
          <w:sz w:val="24"/>
          <w:szCs w:val="24"/>
          <w:rtl/>
        </w:rPr>
        <w:t>הבריתא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>, היפוך הסדר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:</w:t>
      </w:r>
      <w:r w:rsidRPr="00B07D30">
        <w:rPr>
          <w:rFonts w:ascii="David" w:hAnsi="David" w:cs="David" w:hint="cs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את דעת ה"אחרים"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(לפיה קוראים את פרשת מתן תורה)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יש לקיים </w:t>
      </w:r>
      <w:proofErr w:type="spellStart"/>
      <w:r w:rsidRPr="00B07D30">
        <w:rPr>
          <w:rFonts w:ascii="David" w:hAnsi="David" w:cs="David" w:hint="cs"/>
          <w:color w:val="000000"/>
          <w:sz w:val="24"/>
          <w:szCs w:val="24"/>
          <w:rtl/>
        </w:rPr>
        <w:t>דוקא</w:t>
      </w:r>
      <w:proofErr w:type="spellEnd"/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 ביום הראשון, שהרי התורה ניתנה בששה בסיון, ולא בשבעה בו. היפוך זה נעשה משמעותי עוד יותר עם שובנו לארץ:</w:t>
      </w:r>
      <w:r w:rsidRPr="00B07D30">
        <w:rPr>
          <w:rFonts w:ascii="David" w:hAnsi="David" w:cs="David" w:hint="cs"/>
          <w:color w:val="000000"/>
          <w:sz w:val="24"/>
          <w:szCs w:val="24"/>
        </w:rPr>
        <w:t xml:space="preserve">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אנו חוגגים את חג השבועות בששה בסיון בלבד, וכך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לפחות בא"י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נותרנו עם קריאת פרשת מתן תורה (בלבד) בחג השבועות. </w:t>
      </w:r>
    </w:p>
    <w:p w:rsidR="002B34EB" w:rsidRPr="00B07D30" w:rsidRDefault="002B34EB" w:rsidP="002B34EB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Default="002B34EB" w:rsidP="002B34E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המקור הברור והמפורש ביותר למסורת המצויה בפינו הוא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סדר עולם רבה, פרק ה: "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נסעו מרפידים לבוא להם למדבר סיני</w:t>
      </w:r>
      <w:r w:rsidRPr="00B07D30">
        <w:rPr>
          <w:rFonts w:ascii="David" w:hAnsi="David" w:cs="David"/>
          <w:color w:val="000000"/>
          <w:sz w:val="24"/>
          <w:szCs w:val="24"/>
        </w:rPr>
        <w:t> 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ומצאו עליו ענני כבוד. כל חמשה הימים היה משה עולה לראש ההר ויורד ומגיד לעם את דברי המקום ומשיב דבריהם לפני המקום בשלישי. 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בששה לחודש</w:t>
      </w:r>
      <w:r w:rsidRPr="00B07D30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>נתנו להם עשרת הדברות</w:t>
      </w:r>
      <w:r w:rsidRPr="00B07D3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B07D30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ויום השבת היה"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. </w:t>
      </w:r>
    </w:p>
    <w:p w:rsidR="002B34EB" w:rsidRPr="000A64C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0A64C0">
        <w:rPr>
          <w:rFonts w:ascii="David" w:hAnsi="David" w:cs="David"/>
          <w:color w:val="000000"/>
          <w:sz w:val="24"/>
          <w:szCs w:val="24"/>
          <w:rtl/>
        </w:rPr>
        <w:t>סימוכין מתוך הפסוקים בתורה לקש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ר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בין שבועות </w:t>
      </w:r>
      <w:r>
        <w:rPr>
          <w:rFonts w:ascii="David" w:hAnsi="David" w:cs="David"/>
          <w:color w:val="000000"/>
          <w:sz w:val="24"/>
          <w:szCs w:val="24"/>
          <w:rtl/>
        </w:rPr>
        <w:t>למתן תורה ניתן למצוא גם במצ</w:t>
      </w:r>
      <w:r>
        <w:rPr>
          <w:rFonts w:ascii="David" w:hAnsi="David" w:cs="David" w:hint="cs"/>
          <w:color w:val="000000"/>
          <w:sz w:val="24"/>
          <w:szCs w:val="24"/>
          <w:rtl/>
        </w:rPr>
        <w:t>ו</w:t>
      </w:r>
      <w:r>
        <w:rPr>
          <w:rFonts w:ascii="David" w:hAnsi="David" w:cs="David"/>
          <w:color w:val="000000"/>
          <w:sz w:val="24"/>
          <w:szCs w:val="24"/>
          <w:rtl/>
        </w:rPr>
        <w:t>ו</w:t>
      </w:r>
      <w:r>
        <w:rPr>
          <w:rFonts w:ascii="David" w:hAnsi="David" w:cs="David" w:hint="cs"/>
          <w:color w:val="000000"/>
          <w:sz w:val="24"/>
          <w:szCs w:val="24"/>
          <w:rtl/>
        </w:rPr>
        <w:t>ת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>ספירת הימים בין פסח לשבועות</w:t>
      </w:r>
      <w:r w:rsidRPr="000A64C0">
        <w:rPr>
          <w:rFonts w:ascii="David" w:hAnsi="David" w:cs="David"/>
          <w:color w:val="000000"/>
          <w:sz w:val="24"/>
          <w:szCs w:val="24"/>
        </w:rPr>
        <w:t>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</w:rPr>
        <w:t>לספירה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זו 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>שתי מטרות אפשריות: האחת</w:t>
      </w:r>
      <w:r>
        <w:rPr>
          <w:rFonts w:ascii="David" w:hAnsi="David" w:cs="David" w:hint="cs"/>
          <w:color w:val="000000"/>
          <w:sz w:val="24"/>
          <w:szCs w:val="24"/>
          <w:rtl/>
        </w:rPr>
        <w:t>, העולה מתוך פסוקי התורה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>,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 xml:space="preserve">היא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יצירת 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קשר בין </w:t>
      </w:r>
      <w:r>
        <w:rPr>
          <w:rFonts w:ascii="David" w:hAnsi="David" w:cs="David" w:hint="cs"/>
          <w:color w:val="000000"/>
          <w:sz w:val="24"/>
          <w:szCs w:val="24"/>
          <w:rtl/>
        </w:rPr>
        <w:t>קרבן העומר וקרבן שתי הלחם.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0A64C0">
        <w:rPr>
          <w:rFonts w:ascii="David" w:hAnsi="David" w:cs="David"/>
          <w:color w:val="000000"/>
          <w:sz w:val="24"/>
          <w:szCs w:val="24"/>
          <w:rtl/>
        </w:rPr>
        <w:t>השניה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>, שנוצרה בימי חז"ל היא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 xml:space="preserve"> יצירת </w:t>
      </w:r>
      <w:r>
        <w:rPr>
          <w:rFonts w:ascii="David" w:hAnsi="David" w:cs="David"/>
          <w:color w:val="000000"/>
          <w:sz w:val="24"/>
          <w:szCs w:val="24"/>
          <w:rtl/>
        </w:rPr>
        <w:t>מתח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ו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>ציפיה</w:t>
      </w:r>
      <w:proofErr w:type="spellEnd"/>
      <w:r w:rsidRPr="000A64C0">
        <w:rPr>
          <w:rFonts w:ascii="David" w:hAnsi="David" w:cs="David"/>
          <w:color w:val="000000"/>
          <w:sz w:val="24"/>
          <w:szCs w:val="24"/>
          <w:rtl/>
        </w:rPr>
        <w:t> שנובעות </w:t>
      </w:r>
      <w:r>
        <w:rPr>
          <w:rFonts w:ascii="David" w:hAnsi="David" w:cs="David"/>
          <w:color w:val="000000"/>
          <w:sz w:val="24"/>
          <w:szCs w:val="24"/>
          <w:rtl/>
        </w:rPr>
        <w:t>מההמתנה ל</w:t>
      </w:r>
      <w:r>
        <w:rPr>
          <w:rFonts w:ascii="David" w:hAnsi="David" w:cs="David" w:hint="cs"/>
          <w:color w:val="000000"/>
          <w:sz w:val="24"/>
          <w:szCs w:val="24"/>
          <w:rtl/>
        </w:rPr>
        <w:t>מתן תורה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- אירוע 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>הממשמש ובא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Pr="000A64C0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נוסף לקשר החקלאי שבין ימי קציר שעורים לימי קציר חיטים, יצרו חז"ל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גם קשר היסטורי ודתי בין מועד יציאת מצרים ומועד קבלת התורה בסיני.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lastRenderedPageBreak/>
        <w:t xml:space="preserve">לסיכום, </w:t>
      </w:r>
      <w:r>
        <w:rPr>
          <w:rFonts w:ascii="David" w:hAnsi="David" w:cs="David"/>
          <w:color w:val="000000"/>
          <w:sz w:val="24"/>
          <w:szCs w:val="24"/>
          <w:rtl/>
        </w:rPr>
        <w:t>נ</w:t>
      </w:r>
      <w:r>
        <w:rPr>
          <w:rFonts w:ascii="David" w:hAnsi="David" w:cs="David" w:hint="cs"/>
          <w:color w:val="000000"/>
          <w:sz w:val="24"/>
          <w:szCs w:val="24"/>
          <w:rtl/>
        </w:rPr>
        <w:t>יתן לומר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כי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חז"ל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חיברו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את מתן התורה לח</w:t>
      </w:r>
      <w:r>
        <w:rPr>
          <w:rFonts w:ascii="David" w:hAnsi="David" w:cs="David"/>
          <w:color w:val="000000"/>
          <w:sz w:val="24"/>
          <w:szCs w:val="24"/>
          <w:rtl/>
        </w:rPr>
        <w:t>ג השבועות</w:t>
      </w:r>
      <w:r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החג החקלאי,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>על יסוד ה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מסורות </w:t>
      </w:r>
      <w:r w:rsidRPr="00B07D30">
        <w:rPr>
          <w:rFonts w:ascii="David" w:hAnsi="David" w:cs="David" w:hint="cs"/>
          <w:color w:val="000000"/>
          <w:sz w:val="24"/>
          <w:szCs w:val="24"/>
          <w:rtl/>
        </w:rPr>
        <w:t xml:space="preserve">הקדומות </w:t>
      </w:r>
      <w:r>
        <w:rPr>
          <w:rFonts w:ascii="David" w:hAnsi="David" w:cs="David" w:hint="cs"/>
          <w:color w:val="000000"/>
          <w:sz w:val="24"/>
          <w:szCs w:val="24"/>
          <w:rtl/>
        </w:rPr>
        <w:t>מהן עולה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שהברית עם הקב"ה </w:t>
      </w:r>
      <w:proofErr w:type="spellStart"/>
      <w:r w:rsidRPr="00B07D30">
        <w:rPr>
          <w:rFonts w:ascii="David" w:hAnsi="David" w:cs="David"/>
          <w:color w:val="000000"/>
          <w:sz w:val="24"/>
          <w:szCs w:val="24"/>
          <w:rtl/>
        </w:rPr>
        <w:t>צויינה</w:t>
      </w:r>
      <w:proofErr w:type="spellEnd"/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ואף נחגגה בחודש זה בימי אסא מלך יהודה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. קריאת מגילת רות בחג השבועות משקפת את שני הפנים של החג: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מועד העלילה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הוא 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>ימי קציר חיטים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כימי 'חג הקציר';</w:t>
      </w:r>
      <w:r w:rsidRPr="00B07D30">
        <w:rPr>
          <w:rFonts w:ascii="David" w:hAnsi="David" w:cs="David"/>
          <w:color w:val="000000"/>
          <w:sz w:val="24"/>
          <w:szCs w:val="24"/>
          <w:rtl/>
        </w:rPr>
        <w:t xml:space="preserve"> ובנוסף, רות באה בברית עם ה' וקבלה עליה את התורה ובכך היא מהווה מופת לחג בהיותו גם 'חג מתן תורה'.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2B34EB" w:rsidRPr="00B07D30" w:rsidRDefault="002B34EB" w:rsidP="002B34EB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7D38E6" w:rsidRPr="002B34EB" w:rsidRDefault="007D38E6" w:rsidP="00485D30">
      <w:pPr>
        <w:pStyle w:val="NormalWeb"/>
        <w:bidi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rtl/>
        </w:rPr>
      </w:pPr>
    </w:p>
    <w:sectPr w:rsidR="007D38E6" w:rsidRPr="002B34EB" w:rsidSect="006D1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7" w:rsidRDefault="002252C7" w:rsidP="000E21A0">
      <w:pPr>
        <w:spacing w:after="0" w:line="240" w:lineRule="auto"/>
      </w:pPr>
      <w:r>
        <w:separator/>
      </w:r>
    </w:p>
  </w:endnote>
  <w:end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7" w:rsidRDefault="002252C7" w:rsidP="000E21A0">
      <w:pPr>
        <w:spacing w:after="0" w:line="240" w:lineRule="auto"/>
      </w:pPr>
      <w:r>
        <w:separator/>
      </w:r>
    </w:p>
  </w:footnote>
  <w:foot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footnote>
  <w:footnote w:id="1">
    <w:p w:rsidR="002B34EB" w:rsidRPr="009824CD" w:rsidRDefault="002B34EB" w:rsidP="002B34EB">
      <w:pPr>
        <w:pStyle w:val="a9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C56E13">
        <w:rPr>
          <w:rFonts w:ascii="David" w:hAnsi="David" w:cs="David" w:hint="cs"/>
          <w:rtl/>
        </w:rPr>
        <w:t>יצוין</w:t>
      </w:r>
      <w:r w:rsidRPr="00C56E13">
        <w:rPr>
          <w:rFonts w:ascii="David" w:hAnsi="David" w:cs="David"/>
          <w:rtl/>
        </w:rPr>
        <w:t xml:space="preserve">, כי לדעתו של בעל "ספר היובלים" – יהודי מימי בית שני, שלא קיבל את מסורת חז"ל, ועמדותיו הנבדלות ממסורת חז"ל ניכרות במיוחד בענייני לוח השנה – ה"ברית" שנכרתה בחודש השביעי </w:t>
      </w:r>
      <w:proofErr w:type="spellStart"/>
      <w:r w:rsidRPr="00C56E13">
        <w:rPr>
          <w:rFonts w:ascii="David" w:hAnsi="David" w:cs="David"/>
          <w:rtl/>
        </w:rPr>
        <w:t>והמצויינת</w:t>
      </w:r>
      <w:proofErr w:type="spellEnd"/>
      <w:r w:rsidRPr="00C56E13">
        <w:rPr>
          <w:rFonts w:ascii="David" w:hAnsi="David" w:cs="David"/>
          <w:rtl/>
        </w:rPr>
        <w:t xml:space="preserve"> בחג השבועות אינה דווקא מתן תורה, אלא ברית הקשת לאחר המבול. ראו </w:t>
      </w:r>
      <w:r w:rsidRPr="00C56E13">
        <w:rPr>
          <w:rFonts w:ascii="David" w:hAnsi="David" w:cs="David"/>
          <w:color w:val="000000"/>
          <w:rtl/>
        </w:rPr>
        <w:t xml:space="preserve"> </w:t>
      </w:r>
      <w:r w:rsidRPr="00C56E13">
        <w:rPr>
          <w:rFonts w:ascii="David" w:hAnsi="David" w:cs="David"/>
          <w:b/>
          <w:bCs/>
          <w:color w:val="000000"/>
          <w:rtl/>
        </w:rPr>
        <w:t>יובלים, ו</w:t>
      </w:r>
      <w:r w:rsidRPr="00C56E13">
        <w:rPr>
          <w:rFonts w:ascii="David" w:hAnsi="David" w:cs="David"/>
          <w:color w:val="000000"/>
          <w:rtl/>
        </w:rPr>
        <w:t>: "</w:t>
      </w:r>
      <w:r w:rsidRPr="00C56E13">
        <w:rPr>
          <w:rFonts w:ascii="David" w:hAnsi="David" w:cs="David"/>
          <w:b/>
          <w:bCs/>
          <w:color w:val="000000"/>
          <w:rtl/>
        </w:rPr>
        <w:t>באחד לחודש השלישי</w:t>
      </w:r>
      <w:r w:rsidRPr="00C56E13">
        <w:rPr>
          <w:rFonts w:ascii="David" w:hAnsi="David" w:cs="David"/>
          <w:color w:val="000000"/>
          <w:rtl/>
        </w:rPr>
        <w:t xml:space="preserve"> (ו, א) - ביום זה </w:t>
      </w:r>
      <w:r w:rsidRPr="00C56E13">
        <w:rPr>
          <w:rFonts w:ascii="David" w:hAnsi="David" w:cs="David"/>
          <w:b/>
          <w:bCs/>
          <w:color w:val="000000"/>
          <w:rtl/>
        </w:rPr>
        <w:t>כרת הקב"ה את ברית הקשת</w:t>
      </w:r>
      <w:r w:rsidRPr="00C56E13">
        <w:rPr>
          <w:rFonts w:ascii="David" w:hAnsi="David" w:cs="David"/>
          <w:color w:val="000000"/>
          <w:rtl/>
        </w:rPr>
        <w:t xml:space="preserve"> ו"על כן חקוק וכתוב על לוחות השמים </w:t>
      </w:r>
      <w:r w:rsidRPr="00C56E13">
        <w:rPr>
          <w:rFonts w:ascii="David" w:hAnsi="David" w:cs="David"/>
          <w:b/>
          <w:bCs/>
          <w:color w:val="000000"/>
          <w:rtl/>
        </w:rPr>
        <w:t>כי יהיו עושים את חג השבועות בחודש</w:t>
      </w:r>
      <w:r w:rsidRPr="00C56E13">
        <w:rPr>
          <w:rFonts w:ascii="David" w:hAnsi="David" w:cs="David"/>
          <w:color w:val="000000"/>
          <w:rtl/>
        </w:rPr>
        <w:t xml:space="preserve"> הזה אחת בשנה </w:t>
      </w:r>
      <w:r w:rsidRPr="00C56E13">
        <w:rPr>
          <w:rFonts w:ascii="David" w:hAnsi="David" w:cs="David"/>
          <w:b/>
          <w:bCs/>
          <w:color w:val="000000"/>
          <w:rtl/>
        </w:rPr>
        <w:t xml:space="preserve">לחדש את הברית </w:t>
      </w:r>
      <w:r w:rsidRPr="00C56E13">
        <w:rPr>
          <w:rFonts w:ascii="David" w:hAnsi="David" w:cs="David"/>
          <w:color w:val="000000"/>
          <w:rtl/>
        </w:rPr>
        <w:t xml:space="preserve">בכל שנה ושנה" (ו, </w:t>
      </w:r>
      <w:proofErr w:type="spellStart"/>
      <w:r w:rsidRPr="00C56E13">
        <w:rPr>
          <w:rFonts w:ascii="David" w:hAnsi="David" w:cs="David"/>
          <w:color w:val="000000"/>
          <w:rtl/>
        </w:rPr>
        <w:t>יז</w:t>
      </w:r>
      <w:proofErr w:type="spellEnd"/>
      <w:r w:rsidRPr="00C56E13">
        <w:rPr>
          <w:rFonts w:ascii="David" w:hAnsi="David" w:cs="David"/>
          <w:color w:val="000000"/>
          <w:rtl/>
        </w:rPr>
        <w:t>)".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</w:p>
    <w:p w:rsidR="002B34EB" w:rsidRDefault="002B34EB" w:rsidP="002B34EB">
      <w:pPr>
        <w:pStyle w:val="a9"/>
      </w:pPr>
    </w:p>
  </w:footnote>
  <w:footnote w:id="2">
    <w:p w:rsidR="002B34EB" w:rsidRDefault="002B34EB" w:rsidP="002B34EB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 w:rsidRPr="00C56E13">
        <w:rPr>
          <w:rFonts w:ascii="David" w:hAnsi="David" w:cs="David"/>
          <w:color w:val="000000"/>
          <w:rtl/>
        </w:rPr>
        <w:t>איזכור</w:t>
      </w:r>
      <w:proofErr w:type="spellEnd"/>
      <w:r w:rsidRPr="00C56E13">
        <w:rPr>
          <w:rFonts w:ascii="David" w:hAnsi="David" w:cs="David"/>
          <w:color w:val="000000"/>
          <w:rtl/>
        </w:rPr>
        <w:t xml:space="preserve"> מפורש לחג מתן תורתנו מצוי במאה התשיעית ב"סדר רב עמרם גאון", אחד מסידורי התפילה הקדומים ביותר.</w:t>
      </w:r>
      <w:r>
        <w:rPr>
          <w:rFonts w:asciiTheme="majorBidi" w:hAnsiTheme="majorBidi" w:cs="Monotype Hadassah" w:hint="cs"/>
          <w:color w:val="000000"/>
          <w:sz w:val="18"/>
          <w:szCs w:val="18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1F127B37" wp14:editId="230D9F8F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59846" cy="10692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0"/>
    <w:rsid w:val="000B1938"/>
    <w:rsid w:val="000D260F"/>
    <w:rsid w:val="000E0322"/>
    <w:rsid w:val="000E21A0"/>
    <w:rsid w:val="000E43E0"/>
    <w:rsid w:val="00137302"/>
    <w:rsid w:val="0019032E"/>
    <w:rsid w:val="001A2A8A"/>
    <w:rsid w:val="002252C7"/>
    <w:rsid w:val="00262E8D"/>
    <w:rsid w:val="0029307E"/>
    <w:rsid w:val="002B34EB"/>
    <w:rsid w:val="00485D30"/>
    <w:rsid w:val="005569B6"/>
    <w:rsid w:val="006D154F"/>
    <w:rsid w:val="007D38E6"/>
    <w:rsid w:val="008B6FD0"/>
    <w:rsid w:val="00A268F2"/>
    <w:rsid w:val="00D76D85"/>
    <w:rsid w:val="00E06017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FF63A"/>
  <w15:docId w15:val="{265DA881-D5FA-4686-B138-B9E2380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NormalWeb">
    <w:name w:val="Normal (Web)"/>
    <w:basedOn w:val="a"/>
    <w:uiPriority w:val="99"/>
    <w:unhideWhenUsed/>
    <w:rsid w:val="00485D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B34EB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2B34E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משפ' אלבלק</dc:creator>
  <cp:lastModifiedBy>זהבית פריד</cp:lastModifiedBy>
  <cp:revision>2</cp:revision>
  <cp:lastPrinted>2018-02-06T09:41:00Z</cp:lastPrinted>
  <dcterms:created xsi:type="dcterms:W3CDTF">2020-05-21T06:21:00Z</dcterms:created>
  <dcterms:modified xsi:type="dcterms:W3CDTF">2020-05-21T06:21:00Z</dcterms:modified>
</cp:coreProperties>
</file>